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75" w:rsidRDefault="00BA6475" w:rsidP="00BA6475">
      <w:pPr>
        <w:spacing w:line="200" w:lineRule="exact"/>
        <w:jc w:val="center"/>
        <w:rPr>
          <w:b/>
          <w:i/>
          <w:sz w:val="24"/>
          <w:szCs w:val="20"/>
        </w:rPr>
      </w:pPr>
    </w:p>
    <w:p w:rsidR="00BA6475" w:rsidRDefault="00BA6475" w:rsidP="00BA6475">
      <w:pPr>
        <w:spacing w:line="200" w:lineRule="exact"/>
        <w:jc w:val="center"/>
        <w:rPr>
          <w:b/>
          <w:i/>
          <w:sz w:val="24"/>
          <w:szCs w:val="20"/>
        </w:rPr>
      </w:pPr>
    </w:p>
    <w:p w:rsidR="00BA6475" w:rsidRDefault="00BA6475" w:rsidP="00BA6475">
      <w:pPr>
        <w:spacing w:line="200" w:lineRule="exact"/>
        <w:jc w:val="center"/>
        <w:rPr>
          <w:b/>
          <w:i/>
          <w:sz w:val="24"/>
          <w:szCs w:val="20"/>
        </w:rPr>
      </w:pPr>
    </w:p>
    <w:p w:rsidR="00BA6475" w:rsidRDefault="00BA6475" w:rsidP="00BA6475">
      <w:pPr>
        <w:spacing w:line="200" w:lineRule="exact"/>
        <w:jc w:val="center"/>
        <w:rPr>
          <w:b/>
          <w:i/>
          <w:sz w:val="24"/>
          <w:szCs w:val="20"/>
        </w:rPr>
      </w:pPr>
    </w:p>
    <w:p w:rsidR="00BA6475" w:rsidRDefault="00BA6475" w:rsidP="00BA6475">
      <w:pPr>
        <w:spacing w:line="200" w:lineRule="exact"/>
        <w:jc w:val="center"/>
        <w:rPr>
          <w:b/>
          <w:i/>
          <w:sz w:val="24"/>
          <w:szCs w:val="20"/>
        </w:rPr>
      </w:pPr>
    </w:p>
    <w:p w:rsidR="00BA6475" w:rsidRPr="00BB2666" w:rsidRDefault="00BA6475" w:rsidP="00BA6475">
      <w:pPr>
        <w:spacing w:line="200" w:lineRule="exact"/>
        <w:jc w:val="center"/>
        <w:rPr>
          <w:b/>
          <w:i/>
          <w:sz w:val="24"/>
          <w:szCs w:val="20"/>
        </w:rPr>
      </w:pPr>
      <w:r>
        <w:rPr>
          <w:b/>
          <w:i/>
          <w:sz w:val="24"/>
          <w:szCs w:val="20"/>
        </w:rPr>
        <w:t xml:space="preserve">   OPIS SYSTEMU KONTROLI WEWNĘTRZ</w:t>
      </w:r>
      <w:r w:rsidRPr="00BB2666">
        <w:rPr>
          <w:b/>
          <w:i/>
          <w:sz w:val="24"/>
          <w:szCs w:val="20"/>
        </w:rPr>
        <w:t>NEJ</w:t>
      </w:r>
    </w:p>
    <w:p w:rsidR="00BA6475" w:rsidRDefault="00BA6475" w:rsidP="00BA6475">
      <w:pPr>
        <w:spacing w:line="248" w:lineRule="exact"/>
        <w:rPr>
          <w:sz w:val="20"/>
          <w:szCs w:val="20"/>
        </w:rPr>
      </w:pPr>
    </w:p>
    <w:p w:rsidR="00BA6475" w:rsidRPr="00BB2666" w:rsidRDefault="00BA6475" w:rsidP="00BA6475">
      <w:pPr>
        <w:spacing w:line="275" w:lineRule="auto"/>
        <w:jc w:val="both"/>
        <w:rPr>
          <w:sz w:val="20"/>
          <w:szCs w:val="20"/>
        </w:rPr>
      </w:pPr>
      <w:r w:rsidRPr="00BB2666">
        <w:rPr>
          <w:rFonts w:ascii="Cambria" w:eastAsia="Cambria" w:hAnsi="Cambria" w:cs="Cambria"/>
          <w:sz w:val="24"/>
          <w:szCs w:val="24"/>
        </w:rPr>
        <w:t>System kontroli wewnętrznej obejmuje wszystkie jednostki organizacyjne Banku i jest dostosowany do charakteru i profilu ryzyka i skali działalności Banku.</w:t>
      </w:r>
    </w:p>
    <w:p w:rsidR="00BA6475" w:rsidRPr="00BB2666" w:rsidRDefault="00BA6475" w:rsidP="00BA6475">
      <w:pPr>
        <w:spacing w:line="20" w:lineRule="exact"/>
        <w:rPr>
          <w:sz w:val="20"/>
          <w:szCs w:val="20"/>
        </w:rPr>
      </w:pPr>
    </w:p>
    <w:p w:rsidR="00BA6475" w:rsidRPr="00BB2666" w:rsidRDefault="00BA6475" w:rsidP="00BA6475">
      <w:pPr>
        <w:spacing w:line="200" w:lineRule="exact"/>
        <w:rPr>
          <w:sz w:val="20"/>
          <w:szCs w:val="20"/>
        </w:rPr>
      </w:pPr>
    </w:p>
    <w:p w:rsidR="00BA6475" w:rsidRPr="00BB2666" w:rsidRDefault="00BA6475" w:rsidP="00BA6475">
      <w:pPr>
        <w:pStyle w:val="Akapitzlist"/>
        <w:numPr>
          <w:ilvl w:val="0"/>
          <w:numId w:val="9"/>
        </w:numPr>
        <w:spacing w:line="200" w:lineRule="exact"/>
        <w:rPr>
          <w:sz w:val="20"/>
          <w:szCs w:val="20"/>
        </w:rPr>
      </w:pPr>
      <w:r>
        <w:rPr>
          <w:sz w:val="20"/>
          <w:szCs w:val="20"/>
        </w:rPr>
        <w:t>STRUKTURA OGRANIZACYJNA SYSTEMU</w:t>
      </w:r>
    </w:p>
    <w:p w:rsidR="00BA6475" w:rsidRPr="00BB2666" w:rsidRDefault="00BA6475" w:rsidP="00BA6475">
      <w:pPr>
        <w:tabs>
          <w:tab w:val="left" w:pos="1640"/>
        </w:tabs>
        <w:spacing w:line="200" w:lineRule="exact"/>
        <w:rPr>
          <w:sz w:val="20"/>
          <w:szCs w:val="20"/>
        </w:rPr>
      </w:pPr>
      <w:r w:rsidRPr="00BB2666">
        <w:rPr>
          <w:sz w:val="20"/>
          <w:szCs w:val="20"/>
        </w:rPr>
        <w:tab/>
      </w:r>
    </w:p>
    <w:p w:rsidR="00BA6475" w:rsidRPr="00BB2666" w:rsidRDefault="00BA6475" w:rsidP="00BA6475">
      <w:pPr>
        <w:spacing w:line="275" w:lineRule="auto"/>
        <w:jc w:val="both"/>
        <w:rPr>
          <w:rFonts w:ascii="Cambria" w:eastAsia="Cambria" w:hAnsi="Cambria" w:cs="Cambria"/>
          <w:sz w:val="24"/>
          <w:szCs w:val="24"/>
        </w:rPr>
      </w:pPr>
      <w:r w:rsidRPr="00BB2666">
        <w:rPr>
          <w:rFonts w:ascii="Cambria" w:eastAsia="Cambria" w:hAnsi="Cambria" w:cs="Cambria"/>
          <w:sz w:val="24"/>
          <w:szCs w:val="24"/>
        </w:rPr>
        <w:t>Funkcjonujący w Banku system kontroli wewnętrznej jest zorganizowany na trzech, niezależnych i wzajemnie uzupełniających się liniach obrony (poziomach), co w obrazowy sposób zaprezentowano na poniższym schemacie:</w:t>
      </w:r>
      <w:bookmarkStart w:id="0" w:name="_GoBack"/>
      <w:bookmarkEnd w:id="0"/>
    </w:p>
    <w:p w:rsidR="00BA6475" w:rsidRDefault="00BA6475" w:rsidP="00BA6475">
      <w:pPr>
        <w:spacing w:line="275" w:lineRule="auto"/>
        <w:jc w:val="both"/>
        <w:rPr>
          <w:sz w:val="20"/>
          <w:szCs w:val="20"/>
        </w:rPr>
      </w:pPr>
    </w:p>
    <w:p w:rsidR="00BA6475" w:rsidRPr="00BB2666" w:rsidRDefault="00BA6475" w:rsidP="00BA6475">
      <w:pPr>
        <w:spacing w:line="275" w:lineRule="auto"/>
        <w:jc w:val="both"/>
        <w:rPr>
          <w:sz w:val="20"/>
          <w:szCs w:val="20"/>
        </w:rPr>
      </w:pPr>
    </w:p>
    <w:p w:rsidR="00BA6475" w:rsidRPr="00BB2666" w:rsidRDefault="00BA6475" w:rsidP="00BA6475">
      <w:pPr>
        <w:spacing w:line="20" w:lineRule="exact"/>
        <w:rPr>
          <w:sz w:val="20"/>
          <w:szCs w:val="20"/>
        </w:rPr>
      </w:pPr>
    </w:p>
    <w:p w:rsidR="00BA6475" w:rsidRPr="00BB2666" w:rsidRDefault="00BA6475" w:rsidP="00BA6475">
      <w:pPr>
        <w:sectPr w:rsidR="00BA6475" w:rsidRPr="00BB2666">
          <w:pgSz w:w="11900" w:h="16838"/>
          <w:pgMar w:top="202" w:right="726" w:bottom="0" w:left="720" w:header="0" w:footer="0" w:gutter="0"/>
          <w:cols w:space="708" w:equalWidth="0">
            <w:col w:w="10460"/>
          </w:cols>
        </w:sectPr>
      </w:pPr>
    </w:p>
    <w:p w:rsidR="00BA6475" w:rsidRPr="00BB2666" w:rsidRDefault="00BA6475" w:rsidP="00BA6475">
      <w:pPr>
        <w:spacing w:line="174" w:lineRule="exact"/>
        <w:rPr>
          <w:sz w:val="20"/>
          <w:szCs w:val="20"/>
        </w:rPr>
      </w:pPr>
      <w:r w:rsidRPr="00BB2666">
        <w:rPr>
          <w:noProof/>
          <w:sz w:val="20"/>
          <w:szCs w:val="20"/>
        </w:rPr>
        <w:lastRenderedPageBreak/>
        <w:drawing>
          <wp:anchor distT="0" distB="0" distL="114300" distR="114300" simplePos="0" relativeHeight="251659264" behindDoc="1" locked="0" layoutInCell="0" allowOverlap="1">
            <wp:simplePos x="0" y="0"/>
            <wp:positionH relativeFrom="margin">
              <wp:align>right</wp:align>
            </wp:positionH>
            <wp:positionV relativeFrom="page">
              <wp:posOffset>2765637</wp:posOffset>
            </wp:positionV>
            <wp:extent cx="6503670" cy="202628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blip>
                    <a:srcRect/>
                    <a:stretch>
                      <a:fillRect/>
                    </a:stretch>
                  </pic:blipFill>
                  <pic:spPr bwMode="auto">
                    <a:xfrm>
                      <a:off x="0" y="0"/>
                      <a:ext cx="6503670" cy="2026285"/>
                    </a:xfrm>
                    <a:prstGeom prst="rect">
                      <a:avLst/>
                    </a:prstGeom>
                    <a:noFill/>
                  </pic:spPr>
                </pic:pic>
              </a:graphicData>
            </a:graphic>
          </wp:anchor>
        </w:drawing>
      </w:r>
    </w:p>
    <w:tbl>
      <w:tblPr>
        <w:tblW w:w="0" w:type="auto"/>
        <w:tblInd w:w="42" w:type="dxa"/>
        <w:tblLayout w:type="fixed"/>
        <w:tblCellMar>
          <w:left w:w="0" w:type="dxa"/>
          <w:right w:w="0" w:type="dxa"/>
        </w:tblCellMar>
        <w:tblLook w:val="04A0"/>
      </w:tblPr>
      <w:tblGrid>
        <w:gridCol w:w="623"/>
      </w:tblGrid>
      <w:tr w:rsidR="00BA6475" w:rsidRPr="00BB2666" w:rsidTr="00922A5F">
        <w:trPr>
          <w:trHeight w:val="1680"/>
        </w:trPr>
        <w:tc>
          <w:tcPr>
            <w:tcW w:w="623" w:type="dxa"/>
            <w:textDirection w:val="btLr"/>
            <w:vAlign w:val="bottom"/>
          </w:tcPr>
          <w:p w:rsidR="00BA6475" w:rsidRPr="00BB2666" w:rsidRDefault="00BA6475" w:rsidP="00922A5F">
            <w:pPr>
              <w:spacing w:line="236" w:lineRule="auto"/>
              <w:ind w:firstLine="821"/>
              <w:rPr>
                <w:sz w:val="20"/>
                <w:szCs w:val="20"/>
              </w:rPr>
            </w:pPr>
            <w:r w:rsidRPr="00BB2666">
              <w:rPr>
                <w:rFonts w:ascii="Cambria" w:eastAsia="Cambria" w:hAnsi="Cambria" w:cs="Cambria"/>
                <w:sz w:val="27"/>
                <w:szCs w:val="27"/>
              </w:rPr>
              <w:t>obrony pierwsza linia</w:t>
            </w:r>
          </w:p>
        </w:tc>
      </w:tr>
    </w:tbl>
    <w:p w:rsidR="00BA6475" w:rsidRPr="00BB2666" w:rsidRDefault="00BA6475" w:rsidP="00BA6475">
      <w:pPr>
        <w:spacing w:line="20" w:lineRule="exact"/>
        <w:rPr>
          <w:sz w:val="20"/>
          <w:szCs w:val="20"/>
        </w:rPr>
      </w:pPr>
      <w:r w:rsidRPr="00BB2666">
        <w:rPr>
          <w:sz w:val="20"/>
          <w:szCs w:val="20"/>
        </w:rPr>
        <w:br w:type="column"/>
      </w:r>
    </w:p>
    <w:p w:rsidR="00BA6475" w:rsidRPr="00BB2666" w:rsidRDefault="00BA6475" w:rsidP="00BA6475">
      <w:pPr>
        <w:spacing w:line="92" w:lineRule="exact"/>
        <w:rPr>
          <w:sz w:val="20"/>
          <w:szCs w:val="20"/>
        </w:rPr>
      </w:pPr>
    </w:p>
    <w:p w:rsidR="00BA6475" w:rsidRPr="00BB2666" w:rsidRDefault="00BA6475" w:rsidP="00BA6475">
      <w:pPr>
        <w:spacing w:line="221" w:lineRule="auto"/>
        <w:jc w:val="both"/>
        <w:rPr>
          <w:sz w:val="20"/>
          <w:szCs w:val="20"/>
        </w:rPr>
      </w:pPr>
      <w:r w:rsidRPr="00BB2666">
        <w:rPr>
          <w:rFonts w:ascii="Cambria" w:eastAsia="Cambria" w:hAnsi="Cambria" w:cs="Cambria"/>
          <w:sz w:val="20"/>
          <w:szCs w:val="20"/>
        </w:rPr>
        <w:t>operacyjne zarządzanie ryzykiem powstałym w związku z działalnością prowadzoną przez Bank</w:t>
      </w:r>
    </w:p>
    <w:p w:rsidR="00BA6475" w:rsidRPr="00BB2666" w:rsidRDefault="00BA6475" w:rsidP="00BA6475">
      <w:pPr>
        <w:spacing w:line="20" w:lineRule="exact"/>
        <w:rPr>
          <w:sz w:val="20"/>
          <w:szCs w:val="20"/>
        </w:rPr>
      </w:pPr>
      <w:r w:rsidRPr="00BB2666">
        <w:rPr>
          <w:sz w:val="20"/>
          <w:szCs w:val="20"/>
        </w:rPr>
        <w:br w:type="column"/>
      </w:r>
    </w:p>
    <w:p w:rsidR="00BA6475" w:rsidRPr="00BB2666" w:rsidRDefault="00BA6475" w:rsidP="00BA6475">
      <w:pPr>
        <w:spacing w:line="154" w:lineRule="exact"/>
        <w:rPr>
          <w:sz w:val="20"/>
          <w:szCs w:val="20"/>
        </w:rPr>
      </w:pPr>
    </w:p>
    <w:tbl>
      <w:tblPr>
        <w:tblW w:w="0" w:type="auto"/>
        <w:tblLayout w:type="fixed"/>
        <w:tblCellMar>
          <w:left w:w="0" w:type="dxa"/>
          <w:right w:w="0" w:type="dxa"/>
        </w:tblCellMar>
        <w:tblLook w:val="04A0"/>
      </w:tblPr>
      <w:tblGrid>
        <w:gridCol w:w="317"/>
      </w:tblGrid>
      <w:tr w:rsidR="00BA6475" w:rsidRPr="00BB2666" w:rsidTr="00922A5F">
        <w:trPr>
          <w:trHeight w:val="2200"/>
        </w:trPr>
        <w:tc>
          <w:tcPr>
            <w:tcW w:w="317" w:type="dxa"/>
            <w:textDirection w:val="btLr"/>
            <w:vAlign w:val="bottom"/>
          </w:tcPr>
          <w:p w:rsidR="00BA6475" w:rsidRPr="00BB2666" w:rsidRDefault="00BA6475" w:rsidP="00922A5F">
            <w:pPr>
              <w:rPr>
                <w:sz w:val="20"/>
                <w:szCs w:val="20"/>
              </w:rPr>
            </w:pPr>
            <w:r w:rsidRPr="00BB2666">
              <w:rPr>
                <w:rFonts w:ascii="Cambria" w:eastAsia="Cambria" w:hAnsi="Cambria" w:cs="Cambria"/>
                <w:sz w:val="27"/>
                <w:szCs w:val="27"/>
              </w:rPr>
              <w:t>druga linia obrony</w:t>
            </w:r>
          </w:p>
        </w:tc>
      </w:tr>
    </w:tbl>
    <w:p w:rsidR="00BA6475" w:rsidRPr="00BB2666" w:rsidRDefault="00BA6475" w:rsidP="00BA6475">
      <w:pPr>
        <w:spacing w:line="20" w:lineRule="exact"/>
        <w:rPr>
          <w:sz w:val="20"/>
          <w:szCs w:val="20"/>
        </w:rPr>
      </w:pPr>
      <w:r w:rsidRPr="00BB2666">
        <w:rPr>
          <w:sz w:val="20"/>
          <w:szCs w:val="20"/>
        </w:rPr>
        <w:br w:type="column"/>
      </w:r>
    </w:p>
    <w:p w:rsidR="00BA6475" w:rsidRPr="00BB2666" w:rsidRDefault="00BA6475" w:rsidP="00BA6475">
      <w:pPr>
        <w:spacing w:line="92" w:lineRule="exact"/>
        <w:rPr>
          <w:sz w:val="20"/>
          <w:szCs w:val="20"/>
        </w:rPr>
      </w:pPr>
    </w:p>
    <w:p w:rsidR="00BA6475" w:rsidRPr="00624932" w:rsidRDefault="00BA6475" w:rsidP="00BA6475">
      <w:pPr>
        <w:numPr>
          <w:ilvl w:val="0"/>
          <w:numId w:val="1"/>
        </w:numPr>
        <w:tabs>
          <w:tab w:val="left" w:pos="112"/>
        </w:tabs>
        <w:spacing w:line="229" w:lineRule="auto"/>
        <w:ind w:left="-42" w:firstLine="42"/>
        <w:rPr>
          <w:rFonts w:ascii="Cambria" w:eastAsia="Cambria" w:hAnsi="Cambria" w:cs="Cambria"/>
          <w:sz w:val="18"/>
          <w:szCs w:val="18"/>
        </w:rPr>
      </w:pPr>
      <w:r w:rsidRPr="00624932">
        <w:rPr>
          <w:rFonts w:ascii="Cambria" w:eastAsia="Cambria" w:hAnsi="Cambria" w:cs="Cambria"/>
          <w:sz w:val="18"/>
          <w:szCs w:val="18"/>
        </w:rPr>
        <w:t xml:space="preserve">zarządzanie ryzykiem przez pracowników na specjalnie powołanych do tego stanowiskach lub w komórkach organizacyjnych, niezależnie od operacyjnego zarządzania ryzykiem na pierwszym poziomie- </w:t>
      </w:r>
      <w:r w:rsidRPr="00624932">
        <w:rPr>
          <w:rFonts w:ascii="Cambria" w:hAnsi="Cambria"/>
          <w:sz w:val="18"/>
          <w:szCs w:val="18"/>
        </w:rPr>
        <w:t>działalność komórki zgodności, a także innych komórek drugiej linii obrony, np. komórek w pionie Prezesa Zarządu odpowiedzialnych za zarządzanie ryzykiem, bezpieczeństwo, itp;</w:t>
      </w:r>
    </w:p>
    <w:p w:rsidR="00BA6475" w:rsidRPr="0041208C" w:rsidRDefault="00BA6475" w:rsidP="00BA6475">
      <w:pPr>
        <w:spacing w:line="20" w:lineRule="exact"/>
        <w:rPr>
          <w:sz w:val="16"/>
          <w:szCs w:val="16"/>
        </w:rPr>
      </w:pPr>
      <w:r w:rsidRPr="0041208C">
        <w:rPr>
          <w:sz w:val="16"/>
          <w:szCs w:val="16"/>
        </w:rPr>
        <w:br w:type="column"/>
      </w:r>
    </w:p>
    <w:p w:rsidR="00BA6475" w:rsidRPr="00BB2666" w:rsidRDefault="00BA6475" w:rsidP="00BA6475">
      <w:pPr>
        <w:spacing w:line="154" w:lineRule="exact"/>
        <w:rPr>
          <w:sz w:val="20"/>
          <w:szCs w:val="20"/>
        </w:rPr>
      </w:pPr>
    </w:p>
    <w:tbl>
      <w:tblPr>
        <w:tblW w:w="0" w:type="auto"/>
        <w:tblLayout w:type="fixed"/>
        <w:tblCellMar>
          <w:left w:w="0" w:type="dxa"/>
          <w:right w:w="0" w:type="dxa"/>
        </w:tblCellMar>
        <w:tblLook w:val="04A0"/>
      </w:tblPr>
      <w:tblGrid>
        <w:gridCol w:w="317"/>
      </w:tblGrid>
      <w:tr w:rsidR="00BA6475" w:rsidRPr="00BB2666" w:rsidTr="00922A5F">
        <w:trPr>
          <w:trHeight w:val="2320"/>
        </w:trPr>
        <w:tc>
          <w:tcPr>
            <w:tcW w:w="317" w:type="dxa"/>
            <w:textDirection w:val="btLr"/>
            <w:vAlign w:val="bottom"/>
          </w:tcPr>
          <w:p w:rsidR="00BA6475" w:rsidRPr="00BB2666" w:rsidRDefault="00BA6475" w:rsidP="00922A5F">
            <w:pPr>
              <w:rPr>
                <w:sz w:val="20"/>
                <w:szCs w:val="20"/>
              </w:rPr>
            </w:pPr>
            <w:r w:rsidRPr="00BB2666">
              <w:rPr>
                <w:rFonts w:ascii="Cambria" w:eastAsia="Cambria" w:hAnsi="Cambria" w:cs="Cambria"/>
                <w:sz w:val="27"/>
                <w:szCs w:val="27"/>
              </w:rPr>
              <w:t>trzecia linia oborny</w:t>
            </w:r>
          </w:p>
        </w:tc>
      </w:tr>
    </w:tbl>
    <w:p w:rsidR="00BA6475" w:rsidRPr="00BB2666" w:rsidRDefault="00BA6475" w:rsidP="00BA6475">
      <w:pPr>
        <w:spacing w:line="20" w:lineRule="exact"/>
        <w:rPr>
          <w:sz w:val="20"/>
          <w:szCs w:val="20"/>
        </w:rPr>
      </w:pPr>
      <w:r w:rsidRPr="00BB2666">
        <w:rPr>
          <w:sz w:val="20"/>
          <w:szCs w:val="20"/>
        </w:rPr>
        <w:br w:type="column"/>
      </w:r>
    </w:p>
    <w:p w:rsidR="00BA6475" w:rsidRPr="00BB2666" w:rsidRDefault="00BA6475" w:rsidP="00BA6475">
      <w:pPr>
        <w:spacing w:line="92" w:lineRule="exact"/>
        <w:rPr>
          <w:sz w:val="20"/>
          <w:szCs w:val="20"/>
        </w:rPr>
      </w:pPr>
    </w:p>
    <w:p w:rsidR="00BA6475" w:rsidRPr="00BB2666" w:rsidRDefault="00BA6475" w:rsidP="00BA6475">
      <w:pPr>
        <w:spacing w:line="233" w:lineRule="auto"/>
        <w:ind w:right="1100"/>
        <w:rPr>
          <w:sz w:val="20"/>
          <w:szCs w:val="20"/>
        </w:rPr>
        <w:sectPr w:rsidR="00BA6475" w:rsidRPr="00BB2666">
          <w:type w:val="continuous"/>
          <w:pgSz w:w="11900" w:h="16838"/>
          <w:pgMar w:top="202" w:right="726" w:bottom="0" w:left="720" w:header="0" w:footer="0" w:gutter="0"/>
          <w:cols w:num="6" w:space="708" w:equalWidth="0">
            <w:col w:w="665" w:space="55"/>
            <w:col w:w="2080" w:space="704"/>
            <w:col w:w="317" w:space="402"/>
            <w:col w:w="2398" w:space="335"/>
            <w:col w:w="317" w:space="368"/>
            <w:col w:w="2820"/>
          </w:cols>
        </w:sectPr>
      </w:pPr>
      <w:r w:rsidRPr="00BB2666">
        <w:rPr>
          <w:rFonts w:ascii="Cambria" w:eastAsia="Cambria" w:hAnsi="Cambria" w:cs="Cambria"/>
          <w:sz w:val="19"/>
          <w:szCs w:val="19"/>
        </w:rPr>
        <w:t>audyt wewnętrzny realizowany przez Spółdzielczy System Ochrony BPS</w:t>
      </w:r>
    </w:p>
    <w:p w:rsidR="00BA6475" w:rsidRPr="00A11466" w:rsidRDefault="00BA6475" w:rsidP="00BA6475">
      <w:pPr>
        <w:pStyle w:val="Tekstpodstawowy2"/>
        <w:suppressAutoHyphens/>
        <w:rPr>
          <w:rFonts w:ascii="Cambria" w:hAnsi="Cambria"/>
          <w:b/>
        </w:rPr>
      </w:pPr>
      <w:r w:rsidRPr="00A11466">
        <w:rPr>
          <w:rFonts w:ascii="Cambria" w:hAnsi="Cambria"/>
        </w:rPr>
        <w:lastRenderedPageBreak/>
        <w:t>Działanie pierwszego poziomu (linii obrony) w ramach systemu kontroli wewnętrznej obejmuje:</w:t>
      </w:r>
    </w:p>
    <w:p w:rsidR="00BA6475" w:rsidRPr="00A11466" w:rsidRDefault="00BA6475" w:rsidP="00BA6475">
      <w:pPr>
        <w:pStyle w:val="Tekstpodstawowy2"/>
        <w:numPr>
          <w:ilvl w:val="0"/>
          <w:numId w:val="11"/>
        </w:numPr>
        <w:suppressAutoHyphens/>
        <w:rPr>
          <w:rFonts w:ascii="Cambria" w:hAnsi="Cambria"/>
          <w:b/>
        </w:rPr>
      </w:pPr>
      <w:r w:rsidRPr="00A11466">
        <w:rPr>
          <w:rFonts w:ascii="Cambria" w:hAnsi="Cambria"/>
        </w:rPr>
        <w:t xml:space="preserve">stosowanie przez pracowników jednostek i komórek pierwszego poziomu (pierwszej linii obrony) odpowiednich mechanizmów kontrolnych, </w:t>
      </w:r>
    </w:p>
    <w:p w:rsidR="00BA6475" w:rsidRPr="00A11466" w:rsidRDefault="00BA6475" w:rsidP="00BA6475">
      <w:pPr>
        <w:pStyle w:val="Tekstpodstawowy2"/>
        <w:numPr>
          <w:ilvl w:val="0"/>
          <w:numId w:val="11"/>
        </w:numPr>
        <w:suppressAutoHyphens/>
        <w:rPr>
          <w:rFonts w:ascii="Cambria" w:hAnsi="Cambria"/>
          <w:b/>
        </w:rPr>
      </w:pPr>
      <w:r w:rsidRPr="00A11466">
        <w:rPr>
          <w:rFonts w:ascii="Cambria" w:hAnsi="Cambria"/>
        </w:rPr>
        <w:t>dokonywanie przez pracowników jednostek i komórek pierwszego poziomu (pierwszej linii obrony) w ramach obowiązków służbowych wynikających z regulacji wewnętrznych Banku lub ich zakresów obowiązków – niezależnego monitorowania poziomego (monitorowania w ramach pierwszego poziomu) przestrzegania mechanizmów kontrolnych poprzez ich weryfikację bieżącą lub testowanie.</w:t>
      </w:r>
    </w:p>
    <w:p w:rsidR="00BA6475" w:rsidRPr="00A11466" w:rsidRDefault="00BA6475" w:rsidP="00BA6475">
      <w:pPr>
        <w:pStyle w:val="Tekstpodstawowy2"/>
        <w:suppressAutoHyphens/>
        <w:rPr>
          <w:rFonts w:ascii="Cambria" w:hAnsi="Cambria"/>
          <w:b/>
        </w:rPr>
      </w:pPr>
      <w:r w:rsidRPr="00A11466">
        <w:rPr>
          <w:rFonts w:ascii="Cambria" w:hAnsi="Cambria"/>
        </w:rPr>
        <w:t>Działanie drugiego poziomu (drugiej linii obrony) w ramach systemu kontroli wewnętrznej obejmuje:</w:t>
      </w:r>
    </w:p>
    <w:p w:rsidR="00BA6475" w:rsidRPr="00A11466" w:rsidRDefault="00BA6475" w:rsidP="00BA6475">
      <w:pPr>
        <w:pStyle w:val="Tekstpodstawowy2"/>
        <w:numPr>
          <w:ilvl w:val="0"/>
          <w:numId w:val="10"/>
        </w:numPr>
        <w:suppressAutoHyphens/>
        <w:rPr>
          <w:rFonts w:ascii="Cambria" w:hAnsi="Cambria"/>
          <w:b/>
        </w:rPr>
      </w:pPr>
      <w:r w:rsidRPr="00A11466">
        <w:rPr>
          <w:rFonts w:ascii="Cambria" w:hAnsi="Cambria"/>
        </w:rPr>
        <w:t xml:space="preserve">stosowanie przez pracowników komórek drugiego poziomu (drugiej linii obrony) odpowiednich mechanizmów kontrolnych,  </w:t>
      </w:r>
    </w:p>
    <w:p w:rsidR="00BA6475" w:rsidRPr="00A11466" w:rsidRDefault="00BA6475" w:rsidP="00BA6475">
      <w:pPr>
        <w:pStyle w:val="Tekstpodstawowy2"/>
        <w:numPr>
          <w:ilvl w:val="0"/>
          <w:numId w:val="10"/>
        </w:numPr>
        <w:suppressAutoHyphens/>
        <w:rPr>
          <w:rFonts w:ascii="Cambria" w:hAnsi="Cambria"/>
          <w:b/>
        </w:rPr>
      </w:pPr>
      <w:r w:rsidRPr="00A11466">
        <w:rPr>
          <w:rFonts w:ascii="Cambria" w:hAnsi="Cambria"/>
        </w:rPr>
        <w:t>dokonywanie przez pracowników komórek drugiego poziomu (drugiej linii obrony) w związku z wykonywaniem przez nich obowiązków służbowych wynikających z regulacji wewnętrznych Banku lub ich zakresów obowiązków niezależnego monitorowania przestrzegania mechanizmów kontrolnych poprzez:</w:t>
      </w:r>
    </w:p>
    <w:p w:rsidR="00BA6475" w:rsidRPr="00A11466" w:rsidRDefault="00BA6475" w:rsidP="00BA6475">
      <w:pPr>
        <w:pStyle w:val="Tekstpodstawowy2"/>
        <w:numPr>
          <w:ilvl w:val="0"/>
          <w:numId w:val="12"/>
        </w:numPr>
        <w:suppressAutoHyphens/>
        <w:rPr>
          <w:rFonts w:ascii="Cambria" w:hAnsi="Cambria"/>
          <w:b/>
        </w:rPr>
      </w:pPr>
      <w:r w:rsidRPr="00A11466">
        <w:rPr>
          <w:rFonts w:ascii="Cambria" w:hAnsi="Cambria"/>
        </w:rPr>
        <w:t xml:space="preserve">monitorowanie pionowe (weryfikacja bieżąca lub testowanie pierwszego poziomu przez poziom drugi), </w:t>
      </w:r>
    </w:p>
    <w:p w:rsidR="00BA6475" w:rsidRPr="00A11466" w:rsidRDefault="00BA6475" w:rsidP="00BA6475">
      <w:pPr>
        <w:pStyle w:val="Tekstpodstawowy2"/>
        <w:numPr>
          <w:ilvl w:val="0"/>
          <w:numId w:val="12"/>
        </w:numPr>
        <w:suppressAutoHyphens/>
        <w:rPr>
          <w:rFonts w:ascii="Cambria" w:hAnsi="Cambria"/>
          <w:b/>
        </w:rPr>
      </w:pPr>
      <w:r w:rsidRPr="00A11466">
        <w:rPr>
          <w:rFonts w:ascii="Cambria" w:hAnsi="Cambria"/>
        </w:rPr>
        <w:t>lub monitorowanie poziome (weryfikacja bieżąca lub testowanie poziome w komórkach drugiego poziomu),</w:t>
      </w:r>
    </w:p>
    <w:p w:rsidR="00BA6475" w:rsidRPr="00A11466" w:rsidRDefault="00BA6475" w:rsidP="00BA6475">
      <w:pPr>
        <w:pStyle w:val="Tekstpodstawowy2"/>
        <w:suppressAutoHyphens/>
        <w:rPr>
          <w:rFonts w:ascii="Cambria" w:hAnsi="Cambria"/>
          <w:b/>
        </w:rPr>
      </w:pPr>
      <w:r w:rsidRPr="00A11466">
        <w:rPr>
          <w:rFonts w:ascii="Cambria" w:hAnsi="Cambria"/>
        </w:rPr>
        <w:t>Na trzeci poziom (linię obrony) składa się działalność audytu wewnętrznego realizowanego przez SSOZ BPS.</w:t>
      </w:r>
    </w:p>
    <w:p w:rsidR="00BA6475" w:rsidRPr="00A11466" w:rsidRDefault="00BA6475" w:rsidP="00BA6475">
      <w:pPr>
        <w:spacing w:line="142" w:lineRule="exact"/>
        <w:rPr>
          <w:rFonts w:ascii="Cambria" w:hAnsi="Cambria"/>
          <w:sz w:val="20"/>
          <w:szCs w:val="20"/>
        </w:rPr>
      </w:pPr>
    </w:p>
    <w:p w:rsidR="00BA6475" w:rsidRPr="00BB2666" w:rsidRDefault="00BA6475" w:rsidP="00BA6475">
      <w:pPr>
        <w:spacing w:line="123" w:lineRule="exact"/>
        <w:rPr>
          <w:sz w:val="20"/>
          <w:szCs w:val="20"/>
        </w:rPr>
      </w:pPr>
    </w:p>
    <w:p w:rsidR="00BA6475" w:rsidRPr="00BB2666" w:rsidRDefault="00BA6475" w:rsidP="00BA6475">
      <w:pPr>
        <w:rPr>
          <w:sz w:val="20"/>
          <w:szCs w:val="20"/>
        </w:rPr>
      </w:pPr>
      <w:r w:rsidRPr="00BB2666">
        <w:rPr>
          <w:rFonts w:ascii="Cambria" w:eastAsia="Cambria" w:hAnsi="Cambria" w:cs="Cambria"/>
          <w:sz w:val="24"/>
          <w:szCs w:val="24"/>
        </w:rPr>
        <w:t>W procesie kontroli wewnętrznej uczestniczy:</w:t>
      </w:r>
    </w:p>
    <w:p w:rsidR="00BA6475" w:rsidRPr="00BB2666" w:rsidRDefault="00BA6475" w:rsidP="00BA6475">
      <w:pPr>
        <w:spacing w:line="46" w:lineRule="exact"/>
        <w:rPr>
          <w:sz w:val="20"/>
          <w:szCs w:val="20"/>
        </w:rPr>
      </w:pPr>
    </w:p>
    <w:p w:rsidR="00BA6475" w:rsidRPr="00BB2666" w:rsidRDefault="00BA6475" w:rsidP="00BA6475">
      <w:pPr>
        <w:numPr>
          <w:ilvl w:val="0"/>
          <w:numId w:val="2"/>
        </w:numPr>
        <w:tabs>
          <w:tab w:val="left" w:pos="720"/>
        </w:tabs>
        <w:spacing w:line="256" w:lineRule="auto"/>
        <w:ind w:left="720" w:hanging="360"/>
        <w:rPr>
          <w:rFonts w:ascii="Cambria" w:eastAsia="Cambria" w:hAnsi="Cambria" w:cs="Cambria"/>
          <w:sz w:val="24"/>
          <w:szCs w:val="24"/>
        </w:rPr>
      </w:pPr>
      <w:r w:rsidRPr="00BB2666">
        <w:rPr>
          <w:rFonts w:ascii="Cambria" w:eastAsia="Cambria" w:hAnsi="Cambria" w:cs="Cambria"/>
          <w:sz w:val="24"/>
          <w:szCs w:val="24"/>
        </w:rPr>
        <w:t>Rada Nadzorcza, która sprawuje nadzór nad wprowadzeniem i zapewnieniem funkcjonowania adekwatnego systemu kontroli wewnętrznej oraz monitoruje jego skuteczność;</w:t>
      </w:r>
    </w:p>
    <w:p w:rsidR="00BA6475" w:rsidRPr="00BB2666" w:rsidRDefault="00BA6475" w:rsidP="00BA6475">
      <w:pPr>
        <w:spacing w:line="6" w:lineRule="exact"/>
        <w:rPr>
          <w:rFonts w:ascii="Cambria" w:eastAsia="Cambria" w:hAnsi="Cambria" w:cs="Cambria"/>
          <w:sz w:val="24"/>
          <w:szCs w:val="24"/>
        </w:rPr>
      </w:pPr>
    </w:p>
    <w:p w:rsidR="00BA6475" w:rsidRPr="00BB2666" w:rsidRDefault="00BA6475" w:rsidP="00BA6475">
      <w:pPr>
        <w:numPr>
          <w:ilvl w:val="0"/>
          <w:numId w:val="2"/>
        </w:numPr>
        <w:tabs>
          <w:tab w:val="left" w:pos="720"/>
        </w:tabs>
        <w:spacing w:line="256" w:lineRule="auto"/>
        <w:ind w:left="720" w:hanging="360"/>
        <w:rPr>
          <w:rFonts w:ascii="Cambria" w:eastAsia="Cambria" w:hAnsi="Cambria" w:cs="Cambria"/>
          <w:sz w:val="24"/>
          <w:szCs w:val="24"/>
        </w:rPr>
      </w:pPr>
      <w:r w:rsidRPr="00BB2666">
        <w:rPr>
          <w:rFonts w:ascii="Cambria" w:eastAsia="Cambria" w:hAnsi="Cambria" w:cs="Cambria"/>
          <w:sz w:val="24"/>
          <w:szCs w:val="24"/>
        </w:rPr>
        <w:t>Komitet Audytu, który monitoruje skuteczność systemów kontroli wewnętrznej, audytu wewnętrznego oraz ocenia przynajmniej raz w roku system kontroli wewnętrznej;</w:t>
      </w:r>
    </w:p>
    <w:p w:rsidR="00BA6475" w:rsidRPr="00BB2666" w:rsidRDefault="00BA6475" w:rsidP="00BA6475">
      <w:pPr>
        <w:spacing w:line="6" w:lineRule="exact"/>
        <w:rPr>
          <w:rFonts w:ascii="Cambria" w:eastAsia="Cambria" w:hAnsi="Cambria" w:cs="Cambria"/>
          <w:sz w:val="24"/>
          <w:szCs w:val="24"/>
        </w:rPr>
      </w:pPr>
    </w:p>
    <w:p w:rsidR="00BA6475" w:rsidRPr="00BB2666" w:rsidRDefault="00BA6475" w:rsidP="00BA6475">
      <w:pPr>
        <w:numPr>
          <w:ilvl w:val="0"/>
          <w:numId w:val="2"/>
        </w:numPr>
        <w:tabs>
          <w:tab w:val="left" w:pos="720"/>
        </w:tabs>
        <w:spacing w:line="258" w:lineRule="auto"/>
        <w:ind w:left="720" w:hanging="360"/>
        <w:jc w:val="both"/>
        <w:rPr>
          <w:rFonts w:ascii="Cambria" w:eastAsia="Cambria" w:hAnsi="Cambria" w:cs="Cambria"/>
          <w:sz w:val="24"/>
          <w:szCs w:val="24"/>
        </w:rPr>
      </w:pPr>
      <w:r w:rsidRPr="00BB2666">
        <w:rPr>
          <w:rFonts w:ascii="Cambria" w:eastAsia="Cambria" w:hAnsi="Cambria" w:cs="Cambria"/>
          <w:sz w:val="24"/>
          <w:szCs w:val="24"/>
        </w:rPr>
        <w:t>Zarząd Banku, który odpowiada za zaprojektowanie, wprowadzenie oraz zapewnienie we wszystkich jednostkach/ komórkach/ stanowiskach organizacyjnych funkcjonowania adekwatnego i skutecznego systemu kontroli wewnętrznej, który obejmuje funkcję kontroli</w:t>
      </w:r>
    </w:p>
    <w:p w:rsidR="00BA6475" w:rsidRPr="00BB2666" w:rsidRDefault="00BA6475" w:rsidP="00BA6475">
      <w:pPr>
        <w:spacing w:line="3" w:lineRule="exact"/>
        <w:rPr>
          <w:rFonts w:ascii="Cambria" w:eastAsia="Cambria" w:hAnsi="Cambria" w:cs="Cambria"/>
          <w:sz w:val="24"/>
          <w:szCs w:val="24"/>
        </w:rPr>
      </w:pPr>
    </w:p>
    <w:p w:rsidR="00BA6475" w:rsidRDefault="00BA6475" w:rsidP="00BA6475">
      <w:pPr>
        <w:numPr>
          <w:ilvl w:val="1"/>
          <w:numId w:val="2"/>
        </w:numPr>
        <w:tabs>
          <w:tab w:val="left" w:pos="840"/>
        </w:tabs>
        <w:ind w:left="840" w:hanging="120"/>
        <w:rPr>
          <w:rFonts w:ascii="Cambria" w:eastAsia="Cambria" w:hAnsi="Cambria" w:cs="Cambria"/>
          <w:sz w:val="24"/>
          <w:szCs w:val="24"/>
        </w:rPr>
      </w:pPr>
      <w:r>
        <w:rPr>
          <w:rFonts w:ascii="Cambria" w:eastAsia="Cambria" w:hAnsi="Cambria" w:cs="Cambria"/>
          <w:sz w:val="24"/>
          <w:szCs w:val="24"/>
        </w:rPr>
        <w:t>komórkę do spraw zgodności.</w:t>
      </w:r>
    </w:p>
    <w:p w:rsidR="00BA6475" w:rsidRPr="00A11466" w:rsidRDefault="00BA6475" w:rsidP="00BA6475">
      <w:pPr>
        <w:pStyle w:val="Tekstpodstawowy2"/>
        <w:suppressAutoHyphens/>
        <w:rPr>
          <w:rFonts w:ascii="Cambria" w:hAnsi="Cambria"/>
          <w:b/>
        </w:rPr>
      </w:pPr>
      <w:r w:rsidRPr="00A11466">
        <w:rPr>
          <w:rFonts w:ascii="Cambria" w:hAnsi="Cambria"/>
        </w:rPr>
        <w:t>W ramach systemu kontroli wewnętrznej wyodrębnia się:</w:t>
      </w:r>
    </w:p>
    <w:p w:rsidR="00BA6475" w:rsidRPr="00A11466" w:rsidRDefault="00BA6475" w:rsidP="00BA6475">
      <w:pPr>
        <w:pStyle w:val="Tekstpodstawowy2"/>
        <w:numPr>
          <w:ilvl w:val="0"/>
          <w:numId w:val="13"/>
        </w:numPr>
        <w:suppressAutoHyphens/>
        <w:rPr>
          <w:rFonts w:ascii="Cambria" w:hAnsi="Cambria"/>
          <w:b/>
        </w:rPr>
      </w:pPr>
      <w:r w:rsidRPr="00A11466">
        <w:rPr>
          <w:rFonts w:ascii="Cambria" w:hAnsi="Cambria"/>
        </w:rPr>
        <w:t>funkcję kontroli,</w:t>
      </w:r>
    </w:p>
    <w:p w:rsidR="00BA6475" w:rsidRPr="00A11466" w:rsidRDefault="00BA6475" w:rsidP="00BA6475">
      <w:pPr>
        <w:pStyle w:val="Tekstpodstawowy2"/>
        <w:numPr>
          <w:ilvl w:val="0"/>
          <w:numId w:val="13"/>
        </w:numPr>
        <w:suppressAutoHyphens/>
        <w:rPr>
          <w:rFonts w:ascii="Cambria" w:hAnsi="Cambria"/>
          <w:b/>
        </w:rPr>
      </w:pPr>
      <w:r w:rsidRPr="00A11466">
        <w:rPr>
          <w:rFonts w:ascii="Cambria" w:hAnsi="Cambria"/>
        </w:rPr>
        <w:t>komórkę  ds. zgodności,</w:t>
      </w:r>
    </w:p>
    <w:p w:rsidR="00BA6475" w:rsidRPr="00A11466" w:rsidRDefault="00BA6475" w:rsidP="00BA6475">
      <w:pPr>
        <w:pStyle w:val="Tekstpodstawowy2"/>
        <w:numPr>
          <w:ilvl w:val="0"/>
          <w:numId w:val="13"/>
        </w:numPr>
        <w:suppressAutoHyphens/>
        <w:rPr>
          <w:rFonts w:ascii="Cambria" w:hAnsi="Cambria"/>
          <w:b/>
        </w:rPr>
      </w:pPr>
      <w:r w:rsidRPr="00A11466">
        <w:rPr>
          <w:rFonts w:ascii="Cambria" w:hAnsi="Cambria"/>
        </w:rPr>
        <w:t>wyznaczeni pracownicy banku zgodnie z matrycą funkcji kontroli,</w:t>
      </w:r>
    </w:p>
    <w:p w:rsidR="00BA6475" w:rsidRPr="00A11466" w:rsidRDefault="00BA6475" w:rsidP="00BA6475">
      <w:pPr>
        <w:pStyle w:val="Tekstpodstawowy2"/>
        <w:numPr>
          <w:ilvl w:val="0"/>
          <w:numId w:val="13"/>
        </w:numPr>
        <w:suppressAutoHyphens/>
        <w:rPr>
          <w:rFonts w:ascii="Cambria" w:hAnsi="Cambria"/>
          <w:b/>
        </w:rPr>
      </w:pPr>
      <w:r w:rsidRPr="00A11466">
        <w:rPr>
          <w:rFonts w:ascii="Cambria" w:hAnsi="Cambria"/>
        </w:rPr>
        <w:t>pracownicy Departamentu Zgodności Banku BPS SA.</w:t>
      </w:r>
    </w:p>
    <w:p w:rsidR="00BA6475" w:rsidRPr="00A11466" w:rsidRDefault="00BA6475" w:rsidP="00BA6475">
      <w:pPr>
        <w:pStyle w:val="Tekstpodstawowy2"/>
        <w:suppressAutoHyphens/>
        <w:rPr>
          <w:rFonts w:ascii="Cambria" w:hAnsi="Cambria"/>
          <w:b/>
        </w:rPr>
      </w:pPr>
      <w:r w:rsidRPr="00A11466">
        <w:rPr>
          <w:rFonts w:ascii="Cambria" w:hAnsi="Cambria"/>
          <w:u w:val="single"/>
        </w:rPr>
        <w:t>Funkcja kontroli</w:t>
      </w:r>
      <w:r w:rsidRPr="00A11466">
        <w:rPr>
          <w:rFonts w:ascii="Cambria" w:hAnsi="Cambria"/>
        </w:rPr>
        <w:t xml:space="preserve"> - ma za zadanie zapewnienie przestrzegania mechanizmów kontrolnych dotyczących w szczególności zarządzania ryzykiem w Banku, obejmuje stanowiska, grupy ludzi lub jednostki organizacyjne odpowiedzialne za realizację zadań przypisanych tej funkcji opisanych w § 6, tj. stosowanie mechanizmów kontrolnych, niezależne monitorowanie przestrzegania mechanizmów kontrolnych,  raportowanie   w ramach funkcji kontroli odpowiednio do powierzonych danym stanowiskom, grupom ludzi lub jednostkom organizacyjnym zadań.</w:t>
      </w:r>
    </w:p>
    <w:p w:rsidR="00BA6475" w:rsidRPr="00A11466" w:rsidRDefault="00BA6475" w:rsidP="00BA6475">
      <w:pPr>
        <w:pStyle w:val="Tekstpodstawowy2"/>
        <w:suppressAutoHyphens/>
        <w:rPr>
          <w:rFonts w:ascii="Cambria" w:hAnsi="Cambria"/>
          <w:b/>
        </w:rPr>
      </w:pPr>
      <w:r w:rsidRPr="00A11466">
        <w:rPr>
          <w:rFonts w:ascii="Cambria" w:hAnsi="Cambria"/>
          <w:u w:val="single"/>
        </w:rPr>
        <w:t>Komórka ds. zgodności</w:t>
      </w:r>
      <w:r w:rsidRPr="00A11466">
        <w:rPr>
          <w:rFonts w:ascii="Cambria" w:hAnsi="Cambria"/>
        </w:rPr>
        <w:t xml:space="preserve"> – ma za zadanie zapewnianie zgodności, w tym identyfikację, ocenę, kontrolę i monitorowanie ryzyka braku zgodności działalności Banku z przepisami prawa, regulacjami wewnętrznymi i standardami rynkowymi oraz przedstawianie raportów w tym zakresie – działanie komórki regulowane jest w odpowiednim regulaminie zatwierdzanym  przez Zarząd oraz Radę Nadzorczą.</w:t>
      </w:r>
    </w:p>
    <w:p w:rsidR="00BA6475" w:rsidRPr="00A11466" w:rsidRDefault="00BA6475" w:rsidP="00BA6475">
      <w:pPr>
        <w:tabs>
          <w:tab w:val="left" w:pos="840"/>
        </w:tabs>
        <w:jc w:val="both"/>
        <w:rPr>
          <w:rFonts w:ascii="Cambria" w:eastAsia="Cambria" w:hAnsi="Cambria" w:cs="Cambria"/>
          <w:sz w:val="24"/>
          <w:szCs w:val="24"/>
        </w:rPr>
      </w:pPr>
      <w:r w:rsidRPr="00A11466">
        <w:rPr>
          <w:rFonts w:ascii="Cambria" w:hAnsi="Cambria"/>
          <w:sz w:val="24"/>
          <w:szCs w:val="24"/>
          <w:u w:val="single"/>
        </w:rPr>
        <w:t xml:space="preserve">Kontrola wewnętrzna- </w:t>
      </w:r>
      <w:r w:rsidRPr="00A11466">
        <w:rPr>
          <w:rFonts w:ascii="Cambria" w:hAnsi="Cambria"/>
          <w:sz w:val="24"/>
          <w:szCs w:val="24"/>
        </w:rPr>
        <w:t>Bank Spółdzielczy zleca, a Bank BPS zobowiązuje się do wykonywania czynności doradczych w Banku Spółdzielczym, w zakresie ustalonym przez Zarząd Banku Spółdzielczego w zleceniu obejmującym obszary, procesy lub zagadnienia</w:t>
      </w:r>
    </w:p>
    <w:p w:rsidR="00BA6475" w:rsidRPr="00BB2666" w:rsidRDefault="00BA6475" w:rsidP="00BA6475">
      <w:pPr>
        <w:spacing w:line="21" w:lineRule="exact"/>
        <w:rPr>
          <w:rFonts w:ascii="Cambria" w:eastAsia="Cambria" w:hAnsi="Cambria" w:cs="Cambria"/>
          <w:sz w:val="24"/>
          <w:szCs w:val="24"/>
        </w:rPr>
      </w:pPr>
    </w:p>
    <w:p w:rsidR="00BA6475" w:rsidRPr="00BB2666" w:rsidRDefault="00BA6475" w:rsidP="00BA6475">
      <w:pPr>
        <w:spacing w:line="142" w:lineRule="exact"/>
        <w:rPr>
          <w:sz w:val="20"/>
          <w:szCs w:val="20"/>
        </w:rPr>
      </w:pPr>
    </w:p>
    <w:p w:rsidR="00BA6475" w:rsidRPr="00BB2666" w:rsidRDefault="00BA6475" w:rsidP="00BA6475">
      <w:pPr>
        <w:spacing w:line="276" w:lineRule="auto"/>
        <w:ind w:right="20"/>
        <w:jc w:val="both"/>
        <w:rPr>
          <w:sz w:val="20"/>
          <w:szCs w:val="20"/>
        </w:rPr>
      </w:pPr>
      <w:r w:rsidRPr="00BB2666">
        <w:rPr>
          <w:rFonts w:ascii="Cambria" w:eastAsia="Cambria" w:hAnsi="Cambria" w:cs="Cambria"/>
          <w:sz w:val="24"/>
          <w:szCs w:val="24"/>
        </w:rPr>
        <w:t>Funkcjonujący w Banku system kontroli wewnętrznej to zbiór zasad, procedur, mechanizmów i czynności kontrolnych, wkomponowany w sposób trwały i spójny w system zarządzania ryzykiem, powiązany z celami strategicznymi, wspomagający realizację celów biznesowych oraz umożliwiający sprawowanie nadzoru nad działalnością Banku, które opracowane są w formie pisemnej i zatwierdzone przez Zarząd i Radę Nadzorczą.</w:t>
      </w:r>
    </w:p>
    <w:p w:rsidR="00BA6475" w:rsidRPr="00BB2666" w:rsidRDefault="00BA6475" w:rsidP="00BA6475">
      <w:pPr>
        <w:spacing w:line="120" w:lineRule="exact"/>
        <w:rPr>
          <w:sz w:val="20"/>
          <w:szCs w:val="20"/>
        </w:rPr>
      </w:pPr>
    </w:p>
    <w:p w:rsidR="00BA6475" w:rsidRPr="00BB2666" w:rsidRDefault="00BA6475" w:rsidP="00BA6475">
      <w:pPr>
        <w:spacing w:line="275" w:lineRule="auto"/>
        <w:ind w:right="20"/>
        <w:jc w:val="both"/>
        <w:rPr>
          <w:sz w:val="20"/>
          <w:szCs w:val="20"/>
        </w:rPr>
      </w:pPr>
      <w:r w:rsidRPr="00BB2666">
        <w:rPr>
          <w:rFonts w:ascii="Cambria" w:eastAsia="Cambria" w:hAnsi="Cambria" w:cs="Cambria"/>
          <w:sz w:val="24"/>
          <w:szCs w:val="24"/>
        </w:rPr>
        <w:lastRenderedPageBreak/>
        <w:t>Na funkcję kontroli składają się wszystkie mechanizmy kontrolne w procesach funkcjonujących w Banku, niezależne monitorowanie przestrzegania mechanizmów kontrolnych oraz raportowanie w ramach funkcji kontroli</w:t>
      </w:r>
    </w:p>
    <w:p w:rsidR="00BA6475" w:rsidRPr="00BB2666" w:rsidRDefault="00BA6475" w:rsidP="00BA6475">
      <w:pPr>
        <w:spacing w:line="20" w:lineRule="exact"/>
        <w:rPr>
          <w:sz w:val="20"/>
          <w:szCs w:val="20"/>
        </w:rPr>
      </w:pPr>
    </w:p>
    <w:p w:rsidR="00BA6475" w:rsidRDefault="00BA6475" w:rsidP="00BA6475">
      <w:pPr>
        <w:spacing w:line="229" w:lineRule="exact"/>
        <w:rPr>
          <w:sz w:val="20"/>
          <w:szCs w:val="20"/>
        </w:rPr>
      </w:pPr>
    </w:p>
    <w:p w:rsidR="00BA6475" w:rsidRDefault="00BA6475" w:rsidP="00BA6475">
      <w:pPr>
        <w:spacing w:line="229" w:lineRule="exact"/>
        <w:rPr>
          <w:sz w:val="20"/>
          <w:szCs w:val="20"/>
        </w:rPr>
      </w:pPr>
    </w:p>
    <w:p w:rsidR="00BA6475" w:rsidRDefault="00BA6475" w:rsidP="00BA6475">
      <w:pPr>
        <w:spacing w:line="229" w:lineRule="exact"/>
        <w:rPr>
          <w:sz w:val="20"/>
          <w:szCs w:val="20"/>
        </w:rPr>
      </w:pPr>
      <w:r>
        <w:rPr>
          <w:sz w:val="20"/>
          <w:szCs w:val="20"/>
        </w:rPr>
        <w:t>2. CELE SYSTEMU KONTROLI WEWNĘTRZNEJ</w:t>
      </w:r>
    </w:p>
    <w:p w:rsidR="00BA6475" w:rsidRPr="00BB2666" w:rsidRDefault="00BA6475" w:rsidP="00BA6475">
      <w:pPr>
        <w:spacing w:line="229" w:lineRule="exact"/>
        <w:rPr>
          <w:sz w:val="20"/>
          <w:szCs w:val="20"/>
        </w:rPr>
      </w:pPr>
    </w:p>
    <w:p w:rsidR="00BA6475" w:rsidRPr="00BB2666" w:rsidRDefault="00BA6475" w:rsidP="00BA6475">
      <w:pPr>
        <w:spacing w:line="274" w:lineRule="auto"/>
        <w:ind w:right="20"/>
        <w:jc w:val="both"/>
        <w:rPr>
          <w:sz w:val="20"/>
          <w:szCs w:val="20"/>
        </w:rPr>
      </w:pPr>
      <w:r w:rsidRPr="00BB2666">
        <w:rPr>
          <w:rFonts w:ascii="Cambria" w:eastAsia="Cambria" w:hAnsi="Cambria" w:cs="Cambria"/>
          <w:sz w:val="24"/>
          <w:szCs w:val="24"/>
        </w:rPr>
        <w:t>Celem systemu kontroli wewnętrznej Banku jest wspomaganie zarządzania Bankiem, realizacja wyznaczonych celów, w tym usprawnianie realizacji zadań Banku oraz zapewnienie bezpieczeństwa i stabilnego jego funkcjonowania, przyczyniające się w szczególności do zapewnienia:</w:t>
      </w:r>
    </w:p>
    <w:p w:rsidR="00BA6475" w:rsidRPr="00BB2666" w:rsidRDefault="00BA6475" w:rsidP="00BA6475">
      <w:pPr>
        <w:spacing w:line="7" w:lineRule="exact"/>
        <w:rPr>
          <w:sz w:val="20"/>
          <w:szCs w:val="20"/>
        </w:rPr>
      </w:pPr>
    </w:p>
    <w:p w:rsidR="00BA6475" w:rsidRPr="00BB2666" w:rsidRDefault="00BA6475" w:rsidP="00BA6475">
      <w:pPr>
        <w:numPr>
          <w:ilvl w:val="0"/>
          <w:numId w:val="3"/>
        </w:numPr>
        <w:tabs>
          <w:tab w:val="left" w:pos="720"/>
        </w:tabs>
        <w:ind w:left="720" w:hanging="360"/>
        <w:rPr>
          <w:rFonts w:ascii="Cambria" w:eastAsia="Cambria" w:hAnsi="Cambria" w:cs="Cambria"/>
          <w:sz w:val="24"/>
          <w:szCs w:val="24"/>
        </w:rPr>
      </w:pPr>
      <w:r w:rsidRPr="00BB2666">
        <w:rPr>
          <w:rFonts w:ascii="Cambria" w:eastAsia="Cambria" w:hAnsi="Cambria" w:cs="Cambria"/>
          <w:sz w:val="24"/>
          <w:szCs w:val="24"/>
        </w:rPr>
        <w:t>skuteczności i efektywności działania Banku;</w:t>
      </w:r>
    </w:p>
    <w:p w:rsidR="00BA6475" w:rsidRPr="00BB2666" w:rsidRDefault="00BA6475" w:rsidP="00BA6475">
      <w:pPr>
        <w:spacing w:line="23" w:lineRule="exact"/>
        <w:rPr>
          <w:rFonts w:ascii="Cambria" w:eastAsia="Cambria" w:hAnsi="Cambria" w:cs="Cambria"/>
          <w:sz w:val="24"/>
          <w:szCs w:val="24"/>
        </w:rPr>
      </w:pPr>
    </w:p>
    <w:p w:rsidR="00BA6475" w:rsidRPr="00BB2666" w:rsidRDefault="00BA6475" w:rsidP="00BA6475">
      <w:pPr>
        <w:numPr>
          <w:ilvl w:val="0"/>
          <w:numId w:val="3"/>
        </w:numPr>
        <w:tabs>
          <w:tab w:val="left" w:pos="720"/>
        </w:tabs>
        <w:ind w:left="720" w:hanging="360"/>
        <w:rPr>
          <w:rFonts w:ascii="Cambria" w:eastAsia="Cambria" w:hAnsi="Cambria" w:cs="Cambria"/>
          <w:sz w:val="24"/>
          <w:szCs w:val="24"/>
        </w:rPr>
      </w:pPr>
      <w:r w:rsidRPr="00BB2666">
        <w:rPr>
          <w:rFonts w:ascii="Cambria" w:eastAsia="Cambria" w:hAnsi="Cambria" w:cs="Cambria"/>
          <w:sz w:val="24"/>
          <w:szCs w:val="24"/>
        </w:rPr>
        <w:t>wiarygodności sprawozdawczości finansowej;</w:t>
      </w:r>
    </w:p>
    <w:p w:rsidR="00BA6475" w:rsidRPr="00BB2666" w:rsidRDefault="00BA6475" w:rsidP="00BA6475">
      <w:pPr>
        <w:spacing w:line="21" w:lineRule="exact"/>
        <w:rPr>
          <w:rFonts w:ascii="Cambria" w:eastAsia="Cambria" w:hAnsi="Cambria" w:cs="Cambria"/>
          <w:sz w:val="24"/>
          <w:szCs w:val="24"/>
        </w:rPr>
      </w:pPr>
    </w:p>
    <w:p w:rsidR="00BA6475" w:rsidRPr="00BB2666" w:rsidRDefault="00BA6475" w:rsidP="00BA6475">
      <w:pPr>
        <w:numPr>
          <w:ilvl w:val="0"/>
          <w:numId w:val="3"/>
        </w:numPr>
        <w:tabs>
          <w:tab w:val="left" w:pos="720"/>
        </w:tabs>
        <w:ind w:left="720" w:hanging="360"/>
        <w:rPr>
          <w:rFonts w:ascii="Cambria" w:eastAsia="Cambria" w:hAnsi="Cambria" w:cs="Cambria"/>
          <w:sz w:val="24"/>
          <w:szCs w:val="24"/>
        </w:rPr>
      </w:pPr>
      <w:r w:rsidRPr="00BB2666">
        <w:rPr>
          <w:rFonts w:ascii="Cambria" w:eastAsia="Cambria" w:hAnsi="Cambria" w:cs="Cambria"/>
          <w:sz w:val="24"/>
          <w:szCs w:val="24"/>
        </w:rPr>
        <w:t>przestrzegania zasad zarządzania ryzykiem w Banku;</w:t>
      </w:r>
    </w:p>
    <w:p w:rsidR="00BA6475" w:rsidRPr="00BB2666" w:rsidRDefault="00BA6475" w:rsidP="00BA6475">
      <w:pPr>
        <w:spacing w:line="24" w:lineRule="exact"/>
        <w:rPr>
          <w:rFonts w:ascii="Cambria" w:eastAsia="Cambria" w:hAnsi="Cambria" w:cs="Cambria"/>
          <w:sz w:val="24"/>
          <w:szCs w:val="24"/>
        </w:rPr>
      </w:pPr>
    </w:p>
    <w:p w:rsidR="00BA6475" w:rsidRDefault="00BA6475" w:rsidP="00BA6475">
      <w:pPr>
        <w:numPr>
          <w:ilvl w:val="0"/>
          <w:numId w:val="3"/>
        </w:numPr>
        <w:tabs>
          <w:tab w:val="left" w:pos="720"/>
        </w:tabs>
        <w:spacing w:line="256" w:lineRule="auto"/>
        <w:ind w:left="720" w:right="20" w:hanging="360"/>
        <w:rPr>
          <w:rFonts w:ascii="Cambria" w:eastAsia="Cambria" w:hAnsi="Cambria" w:cs="Cambria"/>
          <w:sz w:val="24"/>
          <w:szCs w:val="24"/>
        </w:rPr>
      </w:pPr>
      <w:r w:rsidRPr="00BB2666">
        <w:rPr>
          <w:rFonts w:ascii="Cambria" w:eastAsia="Cambria" w:hAnsi="Cambria" w:cs="Cambria"/>
          <w:sz w:val="24"/>
          <w:szCs w:val="24"/>
        </w:rPr>
        <w:t>zgodności działania Banku z przepisami prawa, regulacjami wewnętrznymi i standardami rynkowymi.</w:t>
      </w:r>
    </w:p>
    <w:p w:rsidR="00BA6475" w:rsidRPr="00BB2666" w:rsidRDefault="00BA6475" w:rsidP="00BA6475">
      <w:pPr>
        <w:tabs>
          <w:tab w:val="left" w:pos="720"/>
        </w:tabs>
        <w:spacing w:line="256" w:lineRule="auto"/>
        <w:ind w:left="720" w:right="20"/>
        <w:rPr>
          <w:rFonts w:ascii="Cambria" w:eastAsia="Cambria" w:hAnsi="Cambria" w:cs="Cambria"/>
          <w:sz w:val="24"/>
          <w:szCs w:val="24"/>
        </w:rPr>
      </w:pPr>
    </w:p>
    <w:p w:rsidR="00BA6475" w:rsidRPr="00BB2666" w:rsidRDefault="00BA6475" w:rsidP="00BA6475">
      <w:pPr>
        <w:spacing w:line="200" w:lineRule="exact"/>
        <w:rPr>
          <w:sz w:val="20"/>
          <w:szCs w:val="20"/>
        </w:rPr>
      </w:pPr>
    </w:p>
    <w:p w:rsidR="00BA6475" w:rsidRPr="00BB2666" w:rsidRDefault="00BA6475" w:rsidP="00BA6475">
      <w:pPr>
        <w:spacing w:line="200" w:lineRule="exact"/>
        <w:rPr>
          <w:sz w:val="20"/>
          <w:szCs w:val="20"/>
        </w:rPr>
      </w:pPr>
      <w:r>
        <w:rPr>
          <w:sz w:val="20"/>
          <w:szCs w:val="20"/>
        </w:rPr>
        <w:t>3. STOSOWANE MECHANIZMY KONTROLNE</w:t>
      </w:r>
    </w:p>
    <w:p w:rsidR="00BA6475" w:rsidRPr="00BB2666" w:rsidRDefault="00BA6475" w:rsidP="00BA6475">
      <w:pPr>
        <w:tabs>
          <w:tab w:val="left" w:pos="2517"/>
        </w:tabs>
        <w:spacing w:line="200" w:lineRule="exact"/>
        <w:rPr>
          <w:sz w:val="20"/>
          <w:szCs w:val="20"/>
        </w:rPr>
      </w:pPr>
      <w:r w:rsidRPr="00BB2666">
        <w:rPr>
          <w:sz w:val="20"/>
          <w:szCs w:val="20"/>
        </w:rPr>
        <w:tab/>
      </w:r>
    </w:p>
    <w:p w:rsidR="00BA6475" w:rsidRPr="00BB2666" w:rsidRDefault="00BA6475" w:rsidP="00BA6475">
      <w:pPr>
        <w:spacing w:line="275" w:lineRule="auto"/>
        <w:ind w:right="20"/>
        <w:jc w:val="both"/>
        <w:rPr>
          <w:sz w:val="20"/>
          <w:szCs w:val="20"/>
        </w:rPr>
      </w:pPr>
      <w:r w:rsidRPr="00BB2666">
        <w:rPr>
          <w:rFonts w:ascii="Cambria" w:eastAsia="Cambria" w:hAnsi="Cambria" w:cs="Cambria"/>
          <w:sz w:val="24"/>
          <w:szCs w:val="24"/>
        </w:rPr>
        <w:t>Mechanizmy kontrolne przyjęte w Banku wbudowane są w funkcjonujące w Banku procesy, czynności oraz w codzienną działalność operacyjną Banku. Mechanizmy kontrolne to, wyróżnione w ramach funkcji kontroli, wszelkie działania lub rozwiązania wykonywane i stosowane w ramach trzech linii obrony, w tym zwłaszcza w ramach pierwszej linii obrony. Mają one za zadanie zapewnienie osiągania celów ogólnych lub szczegółowych systemu kontroli wewnętrznej. Mechanizmy kontrolne przyjęte na poziomie wszystkich linii obrony mają zapobiegać nieprawidłowości (rola prewencyjna), wykrywać nieprawidłowości (rola detekcyjna) oraz korygować nieprawidłowości (rola korekcyjna).</w:t>
      </w:r>
    </w:p>
    <w:p w:rsidR="00BA6475" w:rsidRPr="00BB2666" w:rsidRDefault="00BA6475" w:rsidP="00BA6475">
      <w:pPr>
        <w:spacing w:line="126" w:lineRule="exact"/>
        <w:rPr>
          <w:sz w:val="20"/>
          <w:szCs w:val="20"/>
        </w:rPr>
      </w:pPr>
    </w:p>
    <w:p w:rsidR="00BA6475" w:rsidRPr="00BB2666" w:rsidRDefault="00BA6475" w:rsidP="00BA6475">
      <w:pPr>
        <w:rPr>
          <w:sz w:val="20"/>
          <w:szCs w:val="20"/>
        </w:rPr>
      </w:pPr>
      <w:r w:rsidRPr="00BB2666">
        <w:rPr>
          <w:rFonts w:ascii="Cambria" w:eastAsia="Cambria" w:hAnsi="Cambria" w:cs="Cambria"/>
          <w:sz w:val="24"/>
          <w:szCs w:val="24"/>
        </w:rPr>
        <w:t>Stosowane w Banku mechanizmy kontrolne są:</w:t>
      </w:r>
    </w:p>
    <w:p w:rsidR="00BA6475" w:rsidRPr="00BB2666" w:rsidRDefault="00BA6475" w:rsidP="00BA6475">
      <w:pPr>
        <w:spacing w:line="58" w:lineRule="exact"/>
        <w:rPr>
          <w:sz w:val="20"/>
          <w:szCs w:val="20"/>
        </w:rPr>
      </w:pPr>
    </w:p>
    <w:p w:rsidR="00BA6475" w:rsidRPr="00BB2666" w:rsidRDefault="00BA6475" w:rsidP="00BA6475">
      <w:pPr>
        <w:numPr>
          <w:ilvl w:val="0"/>
          <w:numId w:val="4"/>
        </w:numPr>
        <w:tabs>
          <w:tab w:val="left" w:pos="720"/>
        </w:tabs>
        <w:spacing w:line="258" w:lineRule="auto"/>
        <w:ind w:left="720" w:right="20" w:hanging="362"/>
        <w:rPr>
          <w:rFonts w:ascii="Arial" w:eastAsia="Arial" w:hAnsi="Arial" w:cs="Arial"/>
          <w:sz w:val="24"/>
          <w:szCs w:val="24"/>
        </w:rPr>
      </w:pPr>
      <w:r w:rsidRPr="00BB2666">
        <w:rPr>
          <w:rFonts w:ascii="Cambria" w:eastAsia="Cambria" w:hAnsi="Cambria" w:cs="Cambria"/>
          <w:sz w:val="24"/>
          <w:szCs w:val="24"/>
        </w:rPr>
        <w:t>automatyczne (wbudowane w systemy informatyczne, najczęściej wymuszające lub uniemożliwiające pewne działania),</w:t>
      </w:r>
    </w:p>
    <w:p w:rsidR="00BA6475" w:rsidRPr="00BB2666" w:rsidRDefault="00BA6475" w:rsidP="00BA6475">
      <w:pPr>
        <w:spacing w:line="15" w:lineRule="exact"/>
        <w:rPr>
          <w:rFonts w:ascii="Arial" w:eastAsia="Arial" w:hAnsi="Arial" w:cs="Arial"/>
          <w:sz w:val="24"/>
          <w:szCs w:val="24"/>
        </w:rPr>
      </w:pPr>
    </w:p>
    <w:p w:rsidR="00BA6475" w:rsidRPr="00BB2666" w:rsidRDefault="00BA6475" w:rsidP="00BA6475">
      <w:pPr>
        <w:numPr>
          <w:ilvl w:val="0"/>
          <w:numId w:val="4"/>
        </w:numPr>
        <w:tabs>
          <w:tab w:val="left" w:pos="720"/>
        </w:tabs>
        <w:ind w:left="200"/>
        <w:rPr>
          <w:rFonts w:ascii="Arial" w:eastAsia="Arial" w:hAnsi="Arial" w:cs="Arial"/>
          <w:sz w:val="24"/>
          <w:szCs w:val="24"/>
        </w:rPr>
      </w:pPr>
      <w:r w:rsidRPr="00BB2666">
        <w:rPr>
          <w:rFonts w:ascii="Cambria" w:eastAsia="Cambria" w:hAnsi="Cambria" w:cs="Cambria"/>
          <w:sz w:val="24"/>
          <w:szCs w:val="24"/>
        </w:rPr>
        <w:t>półautomatyczne</w:t>
      </w:r>
      <w:r>
        <w:rPr>
          <w:rFonts w:ascii="Cambria" w:eastAsia="Cambria" w:hAnsi="Cambria" w:cs="Cambria"/>
          <w:sz w:val="24"/>
          <w:szCs w:val="24"/>
        </w:rPr>
        <w:t>,</w:t>
      </w:r>
    </w:p>
    <w:p w:rsidR="00BA6475" w:rsidRPr="00BB2666" w:rsidRDefault="00BA6475" w:rsidP="00BA6475">
      <w:pPr>
        <w:numPr>
          <w:ilvl w:val="0"/>
          <w:numId w:val="5"/>
        </w:numPr>
        <w:tabs>
          <w:tab w:val="left" w:pos="720"/>
        </w:tabs>
        <w:ind w:left="720" w:hanging="362"/>
        <w:rPr>
          <w:rFonts w:ascii="Arial" w:eastAsia="Arial" w:hAnsi="Arial" w:cs="Arial"/>
          <w:sz w:val="24"/>
          <w:szCs w:val="24"/>
        </w:rPr>
      </w:pPr>
      <w:bookmarkStart w:id="1" w:name="page21"/>
      <w:bookmarkEnd w:id="1"/>
      <w:r w:rsidRPr="00BB2666">
        <w:rPr>
          <w:rFonts w:ascii="Cambria" w:eastAsia="Cambria" w:hAnsi="Cambria" w:cs="Cambria"/>
          <w:sz w:val="24"/>
          <w:szCs w:val="24"/>
        </w:rPr>
        <w:t>manualne.</w:t>
      </w:r>
    </w:p>
    <w:p w:rsidR="00BA6475" w:rsidRPr="00BB2666" w:rsidRDefault="00BA6475" w:rsidP="00BA6475">
      <w:pPr>
        <w:spacing w:line="141" w:lineRule="exact"/>
        <w:rPr>
          <w:sz w:val="20"/>
          <w:szCs w:val="20"/>
        </w:rPr>
      </w:pPr>
    </w:p>
    <w:p w:rsidR="00BA6475" w:rsidRPr="00BB2666" w:rsidRDefault="00BA6475" w:rsidP="00BA6475">
      <w:pPr>
        <w:rPr>
          <w:sz w:val="20"/>
          <w:szCs w:val="20"/>
        </w:rPr>
      </w:pPr>
      <w:r w:rsidRPr="00BB2666">
        <w:rPr>
          <w:rFonts w:ascii="Cambria" w:eastAsia="Cambria" w:hAnsi="Cambria" w:cs="Cambria"/>
          <w:sz w:val="24"/>
          <w:szCs w:val="24"/>
        </w:rPr>
        <w:t>Przykładowe mechanizmy kontrolne stosowane w Banku to:</w:t>
      </w:r>
    </w:p>
    <w:p w:rsidR="00BA6475" w:rsidRPr="00BB2666" w:rsidRDefault="00BA6475" w:rsidP="00BA6475">
      <w:pPr>
        <w:spacing w:line="55" w:lineRule="exact"/>
        <w:rPr>
          <w:sz w:val="20"/>
          <w:szCs w:val="20"/>
        </w:rPr>
      </w:pPr>
    </w:p>
    <w:p w:rsidR="00BA6475" w:rsidRPr="00A114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procedury, polityki i inne regulacje wewnętrzne,</w:t>
      </w:r>
    </w:p>
    <w:p w:rsidR="00BA6475" w:rsidRPr="00BB2666" w:rsidRDefault="00BA6475" w:rsidP="00BA6475">
      <w:pPr>
        <w:spacing w:line="35" w:lineRule="exact"/>
        <w:rPr>
          <w:rFonts w:ascii="Arial" w:eastAsia="Arial" w:hAnsi="Arial" w:cs="Arial"/>
          <w:sz w:val="24"/>
          <w:szCs w:val="24"/>
        </w:rPr>
      </w:pPr>
    </w:p>
    <w:p w:rsidR="00BA6475" w:rsidRPr="00BB26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organizacja szkoleń,</w:t>
      </w:r>
    </w:p>
    <w:p w:rsidR="00BA6475" w:rsidRPr="00BB2666" w:rsidRDefault="00BA6475" w:rsidP="00BA6475">
      <w:pPr>
        <w:spacing w:line="37" w:lineRule="exact"/>
        <w:rPr>
          <w:rFonts w:ascii="Arial" w:eastAsia="Arial" w:hAnsi="Arial" w:cs="Arial"/>
          <w:sz w:val="24"/>
          <w:szCs w:val="24"/>
        </w:rPr>
      </w:pPr>
    </w:p>
    <w:p w:rsidR="00BA6475" w:rsidRPr="00BB2666" w:rsidRDefault="00BA6475" w:rsidP="00BA6475">
      <w:pPr>
        <w:spacing w:line="35" w:lineRule="exact"/>
        <w:rPr>
          <w:rFonts w:ascii="Arial" w:eastAsia="Arial" w:hAnsi="Arial" w:cs="Arial"/>
          <w:sz w:val="24"/>
          <w:szCs w:val="24"/>
        </w:rPr>
      </w:pPr>
    </w:p>
    <w:p w:rsidR="00BA6475" w:rsidRPr="00BB26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podział obowiązków,</w:t>
      </w:r>
    </w:p>
    <w:p w:rsidR="00BA6475" w:rsidRPr="00BB2666" w:rsidRDefault="00BA6475" w:rsidP="00BA6475">
      <w:pPr>
        <w:spacing w:line="36" w:lineRule="exact"/>
        <w:rPr>
          <w:rFonts w:ascii="Arial" w:eastAsia="Arial" w:hAnsi="Arial" w:cs="Arial"/>
          <w:sz w:val="24"/>
          <w:szCs w:val="24"/>
        </w:rPr>
      </w:pPr>
    </w:p>
    <w:p w:rsidR="00BA6475" w:rsidRPr="00BB2666" w:rsidRDefault="00BA6475" w:rsidP="00BA6475">
      <w:pPr>
        <w:numPr>
          <w:ilvl w:val="0"/>
          <w:numId w:val="6"/>
        </w:numPr>
        <w:tabs>
          <w:tab w:val="left" w:pos="720"/>
        </w:tabs>
        <w:spacing w:line="258" w:lineRule="auto"/>
        <w:ind w:left="720" w:right="20" w:hanging="362"/>
        <w:rPr>
          <w:rFonts w:ascii="Arial" w:eastAsia="Arial" w:hAnsi="Arial" w:cs="Arial"/>
          <w:sz w:val="24"/>
          <w:szCs w:val="24"/>
        </w:rPr>
      </w:pPr>
      <w:r w:rsidRPr="00BB2666">
        <w:rPr>
          <w:rFonts w:ascii="Cambria" w:eastAsia="Cambria" w:hAnsi="Cambria" w:cs="Cambria"/>
          <w:sz w:val="24"/>
          <w:szCs w:val="24"/>
        </w:rPr>
        <w:t>autoryzacja, w szczególności autoryzacja operacji finansowych i gospodarczych (kontrola na drugą rękę),</w:t>
      </w:r>
    </w:p>
    <w:p w:rsidR="00BA6475" w:rsidRPr="00BB2666" w:rsidRDefault="00BA6475" w:rsidP="00BA6475">
      <w:pPr>
        <w:spacing w:line="12" w:lineRule="exact"/>
        <w:rPr>
          <w:rFonts w:ascii="Arial" w:eastAsia="Arial" w:hAnsi="Arial" w:cs="Arial"/>
          <w:sz w:val="24"/>
          <w:szCs w:val="24"/>
        </w:rPr>
      </w:pPr>
    </w:p>
    <w:p w:rsidR="00BA6475" w:rsidRPr="00BB26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kontrola dostępu,</w:t>
      </w:r>
    </w:p>
    <w:p w:rsidR="00BA6475" w:rsidRPr="00BB2666" w:rsidRDefault="00BA6475" w:rsidP="00BA6475">
      <w:pPr>
        <w:spacing w:line="35" w:lineRule="exact"/>
        <w:rPr>
          <w:rFonts w:ascii="Arial" w:eastAsia="Arial" w:hAnsi="Arial" w:cs="Arial"/>
          <w:sz w:val="24"/>
          <w:szCs w:val="24"/>
        </w:rPr>
      </w:pPr>
    </w:p>
    <w:p w:rsidR="00BA6475" w:rsidRPr="00BB26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kontrola fizyczna,</w:t>
      </w:r>
    </w:p>
    <w:p w:rsidR="00BA6475" w:rsidRPr="00BB2666" w:rsidRDefault="00BA6475" w:rsidP="00BA6475">
      <w:pPr>
        <w:spacing w:line="35" w:lineRule="exact"/>
        <w:rPr>
          <w:rFonts w:ascii="Arial" w:eastAsia="Arial" w:hAnsi="Arial" w:cs="Arial"/>
          <w:sz w:val="24"/>
          <w:szCs w:val="24"/>
        </w:rPr>
      </w:pPr>
    </w:p>
    <w:p w:rsidR="00BA6475" w:rsidRPr="00A11466" w:rsidRDefault="00BA6475" w:rsidP="00BA6475">
      <w:pPr>
        <w:numPr>
          <w:ilvl w:val="0"/>
          <w:numId w:val="6"/>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 xml:space="preserve">wskaźniki wydajności, </w:t>
      </w:r>
    </w:p>
    <w:p w:rsidR="00BA6475" w:rsidRPr="00A11466" w:rsidRDefault="00BA6475" w:rsidP="00BA6475">
      <w:pPr>
        <w:numPr>
          <w:ilvl w:val="0"/>
          <w:numId w:val="6"/>
        </w:numPr>
        <w:tabs>
          <w:tab w:val="left" w:pos="720"/>
        </w:tabs>
        <w:ind w:left="720" w:hanging="362"/>
        <w:rPr>
          <w:rFonts w:ascii="Arial" w:eastAsia="Arial" w:hAnsi="Arial" w:cs="Arial"/>
          <w:sz w:val="24"/>
          <w:szCs w:val="24"/>
        </w:rPr>
      </w:pPr>
      <w:r>
        <w:rPr>
          <w:rFonts w:ascii="Cambria" w:eastAsia="Cambria" w:hAnsi="Cambria" w:cs="Cambria"/>
          <w:sz w:val="24"/>
          <w:szCs w:val="24"/>
        </w:rPr>
        <w:t>samokontrola,</w:t>
      </w:r>
    </w:p>
    <w:p w:rsidR="00BA6475" w:rsidRPr="00A11466" w:rsidRDefault="00BA6475" w:rsidP="00BA6475">
      <w:pPr>
        <w:numPr>
          <w:ilvl w:val="0"/>
          <w:numId w:val="6"/>
        </w:numPr>
        <w:tabs>
          <w:tab w:val="left" w:pos="720"/>
        </w:tabs>
        <w:ind w:left="720" w:hanging="362"/>
        <w:rPr>
          <w:rFonts w:ascii="Arial" w:eastAsia="Arial" w:hAnsi="Arial" w:cs="Arial"/>
          <w:sz w:val="24"/>
          <w:szCs w:val="24"/>
        </w:rPr>
      </w:pPr>
      <w:r>
        <w:rPr>
          <w:rFonts w:ascii="Cambria" w:eastAsia="Cambria" w:hAnsi="Cambria" w:cs="Cambria"/>
          <w:sz w:val="24"/>
          <w:szCs w:val="24"/>
        </w:rPr>
        <w:t>zabezpieczenia prawne,</w:t>
      </w:r>
    </w:p>
    <w:p w:rsidR="00BA6475" w:rsidRPr="00BB2666" w:rsidRDefault="00BA6475" w:rsidP="00BA6475">
      <w:pPr>
        <w:numPr>
          <w:ilvl w:val="0"/>
          <w:numId w:val="6"/>
        </w:numPr>
        <w:tabs>
          <w:tab w:val="left" w:pos="720"/>
        </w:tabs>
        <w:ind w:left="720" w:hanging="362"/>
        <w:rPr>
          <w:rFonts w:ascii="Arial" w:eastAsia="Arial" w:hAnsi="Arial" w:cs="Arial"/>
          <w:sz w:val="24"/>
          <w:szCs w:val="24"/>
        </w:rPr>
      </w:pPr>
      <w:r>
        <w:rPr>
          <w:rFonts w:ascii="Cambria" w:eastAsia="Cambria" w:hAnsi="Cambria" w:cs="Cambria"/>
          <w:sz w:val="24"/>
          <w:szCs w:val="24"/>
        </w:rPr>
        <w:t>ubezpieczenia.</w:t>
      </w:r>
    </w:p>
    <w:p w:rsidR="00BA6475" w:rsidRPr="00BB2666" w:rsidRDefault="00BA6475" w:rsidP="00BA6475">
      <w:pPr>
        <w:spacing w:line="142" w:lineRule="exact"/>
        <w:rPr>
          <w:sz w:val="20"/>
          <w:szCs w:val="20"/>
        </w:rPr>
      </w:pPr>
    </w:p>
    <w:p w:rsidR="00BA6475" w:rsidRPr="00BB2666" w:rsidRDefault="00BA6475" w:rsidP="00BA6475">
      <w:pPr>
        <w:spacing w:line="276" w:lineRule="auto"/>
        <w:ind w:right="20"/>
        <w:jc w:val="both"/>
        <w:rPr>
          <w:sz w:val="20"/>
          <w:szCs w:val="20"/>
        </w:rPr>
      </w:pPr>
      <w:r w:rsidRPr="00BB2666">
        <w:rPr>
          <w:rFonts w:ascii="Cambria" w:eastAsia="Cambria" w:hAnsi="Cambria" w:cs="Cambria"/>
          <w:sz w:val="24"/>
          <w:szCs w:val="24"/>
        </w:rPr>
        <w:t>Jednym z mechanizmów kontrolnych jest ich niezależne monitorowanie. Im bardziej kluczowy jest dany mechanizm kontrolny w procesie uznanym za istotny, tym częściej i skuteczniej (na większej próbie) jest przedmiotem monitorowania pionowego.</w:t>
      </w:r>
    </w:p>
    <w:p w:rsidR="00BA6475" w:rsidRPr="00BB2666" w:rsidRDefault="00BA6475" w:rsidP="00BA6475">
      <w:pPr>
        <w:spacing w:line="122" w:lineRule="exact"/>
        <w:rPr>
          <w:sz w:val="20"/>
          <w:szCs w:val="20"/>
        </w:rPr>
      </w:pPr>
    </w:p>
    <w:p w:rsidR="00BA6475" w:rsidRDefault="00BA6475" w:rsidP="00BA6475">
      <w:pPr>
        <w:spacing w:line="290" w:lineRule="auto"/>
        <w:ind w:right="20"/>
        <w:jc w:val="both"/>
        <w:rPr>
          <w:rFonts w:ascii="Cambria" w:eastAsia="Cambria" w:hAnsi="Cambria" w:cs="Cambria"/>
          <w:sz w:val="23"/>
          <w:szCs w:val="23"/>
        </w:rPr>
      </w:pPr>
      <w:r w:rsidRPr="00BB2666">
        <w:rPr>
          <w:rFonts w:ascii="Cambria" w:eastAsia="Cambria" w:hAnsi="Cambria" w:cs="Cambria"/>
          <w:sz w:val="23"/>
          <w:szCs w:val="23"/>
        </w:rPr>
        <w:t>W odniesieniu do procesów istotnych dokonywany jest wybór kluczowych mechanizmów kontrolnych, czyli takich które mają kluczowe znaczenie dla osiągnięcia danego celu ogólnego lub szczegółowego systemu kontroli wewnętrznej w danym procesie. Nieprzestrzeganie tych mechanizmów może spowodować zaistnienie nieakceptowanego przez Bank ryzyka, związanego z nieosiągnięciem celu.</w:t>
      </w:r>
    </w:p>
    <w:p w:rsidR="00BA6475" w:rsidRDefault="00BA6475" w:rsidP="00BA6475">
      <w:pPr>
        <w:spacing w:line="290" w:lineRule="auto"/>
        <w:ind w:right="20"/>
        <w:jc w:val="both"/>
        <w:rPr>
          <w:rFonts w:ascii="Cambria" w:eastAsia="Cambria" w:hAnsi="Cambria" w:cs="Cambria"/>
          <w:sz w:val="23"/>
          <w:szCs w:val="23"/>
        </w:rPr>
      </w:pPr>
    </w:p>
    <w:p w:rsidR="00BA6475" w:rsidRDefault="00BA6475" w:rsidP="00BA6475">
      <w:pPr>
        <w:spacing w:line="290" w:lineRule="auto"/>
        <w:ind w:right="20"/>
        <w:jc w:val="both"/>
        <w:rPr>
          <w:rFonts w:ascii="Cambria" w:eastAsia="Cambria" w:hAnsi="Cambria" w:cs="Cambria"/>
          <w:sz w:val="23"/>
          <w:szCs w:val="23"/>
        </w:rPr>
      </w:pPr>
    </w:p>
    <w:p w:rsidR="00BA6475" w:rsidRPr="00BB2666" w:rsidRDefault="00BA6475" w:rsidP="00BA6475">
      <w:pPr>
        <w:spacing w:line="290" w:lineRule="auto"/>
        <w:ind w:right="20"/>
        <w:jc w:val="both"/>
        <w:rPr>
          <w:sz w:val="20"/>
          <w:szCs w:val="20"/>
        </w:rPr>
      </w:pPr>
    </w:p>
    <w:p w:rsidR="00BA6475" w:rsidRPr="00BB2666" w:rsidRDefault="00BA6475" w:rsidP="00BA6475">
      <w:pPr>
        <w:spacing w:line="20" w:lineRule="exact"/>
        <w:rPr>
          <w:sz w:val="20"/>
          <w:szCs w:val="20"/>
        </w:rPr>
      </w:pPr>
    </w:p>
    <w:p w:rsidR="00BA6475" w:rsidRPr="00BB2666" w:rsidRDefault="00BA6475" w:rsidP="00BA6475">
      <w:pPr>
        <w:spacing w:line="200" w:lineRule="exact"/>
        <w:rPr>
          <w:sz w:val="20"/>
          <w:szCs w:val="20"/>
        </w:rPr>
      </w:pPr>
    </w:p>
    <w:p w:rsidR="00BA6475" w:rsidRPr="00BB2666" w:rsidRDefault="00BA6475" w:rsidP="00BA6475">
      <w:pPr>
        <w:spacing w:line="200" w:lineRule="exact"/>
        <w:rPr>
          <w:sz w:val="20"/>
          <w:szCs w:val="20"/>
        </w:rPr>
      </w:pPr>
      <w:r>
        <w:rPr>
          <w:sz w:val="20"/>
          <w:szCs w:val="20"/>
        </w:rPr>
        <w:t>4.RAPORTOWANIE</w:t>
      </w:r>
    </w:p>
    <w:p w:rsidR="00BA6475" w:rsidRPr="00BB2666" w:rsidRDefault="00BA6475" w:rsidP="00BA6475">
      <w:pPr>
        <w:tabs>
          <w:tab w:val="left" w:pos="1277"/>
        </w:tabs>
        <w:spacing w:line="200" w:lineRule="exact"/>
        <w:rPr>
          <w:sz w:val="20"/>
          <w:szCs w:val="20"/>
        </w:rPr>
      </w:pPr>
    </w:p>
    <w:p w:rsidR="00BA6475" w:rsidRDefault="00BA6475" w:rsidP="00BA6475">
      <w:pPr>
        <w:spacing w:line="275" w:lineRule="auto"/>
        <w:ind w:right="20"/>
        <w:jc w:val="both"/>
        <w:rPr>
          <w:rFonts w:ascii="Cambria" w:eastAsia="Cambria" w:hAnsi="Cambria" w:cs="Cambria"/>
          <w:sz w:val="24"/>
          <w:szCs w:val="24"/>
        </w:rPr>
      </w:pPr>
      <w:r w:rsidRPr="00BB2666">
        <w:rPr>
          <w:rFonts w:ascii="Cambria" w:eastAsia="Cambria" w:hAnsi="Cambria" w:cs="Cambria"/>
          <w:sz w:val="24"/>
          <w:szCs w:val="24"/>
        </w:rPr>
        <w:t xml:space="preserve">Zarząd otrzymuje informację o wynikach testowania pionowego i poziomego przestrzegania kluczowych mechanizmów kontrolnych w okresach </w:t>
      </w:r>
      <w:r>
        <w:rPr>
          <w:rFonts w:ascii="Cambria" w:eastAsia="Cambria" w:hAnsi="Cambria" w:cs="Cambria"/>
          <w:sz w:val="24"/>
          <w:szCs w:val="24"/>
        </w:rPr>
        <w:t>półrocznych</w:t>
      </w:r>
      <w:r w:rsidRPr="00BB2666">
        <w:rPr>
          <w:rFonts w:ascii="Cambria" w:eastAsia="Cambria" w:hAnsi="Cambria" w:cs="Cambria"/>
          <w:sz w:val="24"/>
          <w:szCs w:val="24"/>
        </w:rPr>
        <w:t>, Rada Nadzorcza w okresach półrocznych z uwzględnieniem m.in. zestawienia wykrytych nieprawidłowości znaczących i krytycznych oraz informacji dotyczących efektów działań podjętych w celu usunięcia tych nieprawidłowości.</w:t>
      </w:r>
    </w:p>
    <w:p w:rsidR="00BA6475" w:rsidRDefault="00BA6475" w:rsidP="00BA6475">
      <w:pPr>
        <w:spacing w:line="275" w:lineRule="auto"/>
        <w:ind w:right="20"/>
        <w:jc w:val="both"/>
        <w:rPr>
          <w:rFonts w:ascii="Cambria" w:eastAsia="Cambria" w:hAnsi="Cambria" w:cs="Cambria"/>
          <w:sz w:val="24"/>
          <w:szCs w:val="24"/>
        </w:rPr>
      </w:pPr>
    </w:p>
    <w:p w:rsidR="00BA6475" w:rsidRDefault="00BA6475" w:rsidP="00BA6475">
      <w:pPr>
        <w:spacing w:line="275" w:lineRule="auto"/>
        <w:ind w:right="20"/>
        <w:jc w:val="both"/>
        <w:rPr>
          <w:rFonts w:ascii="Cambria" w:eastAsia="Cambria" w:hAnsi="Cambria" w:cs="Cambria"/>
          <w:sz w:val="24"/>
          <w:szCs w:val="24"/>
        </w:rPr>
      </w:pPr>
    </w:p>
    <w:p w:rsidR="00BA6475" w:rsidRPr="00BB2666" w:rsidRDefault="00BA6475" w:rsidP="00BA6475">
      <w:pPr>
        <w:spacing w:line="275" w:lineRule="auto"/>
        <w:ind w:right="20"/>
        <w:jc w:val="both"/>
        <w:rPr>
          <w:sz w:val="20"/>
          <w:szCs w:val="20"/>
        </w:rPr>
      </w:pPr>
    </w:p>
    <w:p w:rsidR="00BA6475" w:rsidRPr="00BB2666" w:rsidRDefault="00BA6475" w:rsidP="00BA6475">
      <w:pPr>
        <w:spacing w:line="20" w:lineRule="exact"/>
        <w:rPr>
          <w:sz w:val="20"/>
          <w:szCs w:val="20"/>
        </w:rPr>
      </w:pPr>
    </w:p>
    <w:p w:rsidR="00BA6475" w:rsidRPr="00BB2666" w:rsidRDefault="00BA6475" w:rsidP="00BA6475">
      <w:pPr>
        <w:spacing w:line="200" w:lineRule="exact"/>
        <w:rPr>
          <w:sz w:val="20"/>
          <w:szCs w:val="20"/>
        </w:rPr>
      </w:pPr>
      <w:r>
        <w:rPr>
          <w:sz w:val="20"/>
          <w:szCs w:val="20"/>
        </w:rPr>
        <w:t>5. OCENA ADEKWATNOŚCI I SKUTECZNOŚCI SYSTEMU</w:t>
      </w:r>
    </w:p>
    <w:p w:rsidR="00BA6475" w:rsidRPr="00BB2666" w:rsidRDefault="00BA6475" w:rsidP="00BA6475">
      <w:pPr>
        <w:spacing w:line="230" w:lineRule="exact"/>
        <w:rPr>
          <w:sz w:val="20"/>
          <w:szCs w:val="20"/>
        </w:rPr>
      </w:pPr>
    </w:p>
    <w:p w:rsidR="00BA6475" w:rsidRPr="004931DC" w:rsidRDefault="00BA6475" w:rsidP="00BA6475">
      <w:pPr>
        <w:pStyle w:val="Tekstpodstawowy"/>
        <w:widowControl w:val="0"/>
        <w:tabs>
          <w:tab w:val="left" w:pos="0"/>
        </w:tabs>
        <w:spacing w:after="0"/>
        <w:jc w:val="both"/>
        <w:rPr>
          <w:rFonts w:ascii="Cambria" w:hAnsi="Cambria"/>
          <w:sz w:val="24"/>
          <w:szCs w:val="24"/>
        </w:rPr>
      </w:pPr>
      <w:r w:rsidRPr="004931DC">
        <w:rPr>
          <w:rFonts w:ascii="Cambria" w:hAnsi="Cambria"/>
          <w:sz w:val="24"/>
          <w:szCs w:val="24"/>
        </w:rPr>
        <w:t xml:space="preserve">Rada Nadzorcza dokonuje corocznie </w:t>
      </w:r>
      <w:r>
        <w:rPr>
          <w:rFonts w:ascii="Cambria" w:hAnsi="Cambria"/>
          <w:sz w:val="24"/>
          <w:szCs w:val="24"/>
        </w:rPr>
        <w:t xml:space="preserve">niezależnej oceny adekwatności </w:t>
      </w:r>
      <w:r w:rsidRPr="004931DC">
        <w:rPr>
          <w:rFonts w:ascii="Cambria" w:hAnsi="Cambria"/>
          <w:sz w:val="24"/>
          <w:szCs w:val="24"/>
        </w:rPr>
        <w:t>i skuteczności systemu kontroli wewnętrznej, w tym adekwatności i skuteczności funkcji kontroli, komórki do spraw zgodności oraz audytu wewnętrznego na podstawie:</w:t>
      </w:r>
    </w:p>
    <w:p w:rsidR="00BA6475" w:rsidRPr="004931DC" w:rsidRDefault="00BA6475" w:rsidP="00BA6475">
      <w:pPr>
        <w:numPr>
          <w:ilvl w:val="0"/>
          <w:numId w:val="14"/>
        </w:numPr>
        <w:rPr>
          <w:rFonts w:ascii="Cambria" w:hAnsi="Cambria"/>
          <w:sz w:val="24"/>
          <w:szCs w:val="24"/>
          <w:lang w:eastAsia="ko-KR"/>
        </w:rPr>
      </w:pPr>
      <w:r w:rsidRPr="004931DC">
        <w:rPr>
          <w:rFonts w:ascii="Cambria" w:hAnsi="Cambria"/>
          <w:sz w:val="24"/>
          <w:szCs w:val="24"/>
          <w:lang w:eastAsia="ko-KR"/>
        </w:rPr>
        <w:t>opinii Komitetu audytu,</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informacji Zarządu,</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okresowych raportów komórki ds. zgodności,</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 xml:space="preserve">informacji o spełnianiu kryteriów oceny adekwatności i skuteczności funkcji kontroli sporządzanej przez Stanowisko ds. zgodności, </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istotnych, z punktu widzenia adekwatności i skuteczności systemu kontroli wewnętrznej, informacji uzyskanych od podmiotów zależnych,</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ustaleń dokonanych przez biegłego rewidenta,</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ustaleń wynikających z czynności nadzorczych wykonywanych przez uprawnione do tego instytucje (np. KNF, UOKIK),</w:t>
      </w:r>
    </w:p>
    <w:p w:rsidR="00BA6475" w:rsidRPr="004931DC" w:rsidRDefault="00BA6475" w:rsidP="00BA6475">
      <w:pPr>
        <w:pStyle w:val="Tekstpodstawowy"/>
        <w:widowControl w:val="0"/>
        <w:numPr>
          <w:ilvl w:val="0"/>
          <w:numId w:val="14"/>
        </w:numPr>
        <w:tabs>
          <w:tab w:val="left" w:pos="0"/>
        </w:tabs>
        <w:spacing w:after="0"/>
        <w:jc w:val="both"/>
        <w:rPr>
          <w:rFonts w:ascii="Cambria" w:hAnsi="Cambria"/>
          <w:sz w:val="24"/>
          <w:szCs w:val="24"/>
        </w:rPr>
      </w:pPr>
      <w:r w:rsidRPr="004931DC">
        <w:rPr>
          <w:rFonts w:ascii="Cambria" w:hAnsi="Cambria"/>
          <w:sz w:val="24"/>
          <w:szCs w:val="24"/>
        </w:rPr>
        <w:t>istotnych z punktu widzenia adekwatności i skuteczności sytemu kontroli wewnętrznej, oceny i opinie dokonywane przez podmioty zewnętrzne, jeżeli były wydawane.</w:t>
      </w:r>
    </w:p>
    <w:p w:rsidR="00BA6475" w:rsidRPr="004931DC" w:rsidRDefault="00BA6475" w:rsidP="00BA6475">
      <w:pPr>
        <w:pStyle w:val="Tekstpodstawowy"/>
        <w:widowControl w:val="0"/>
        <w:tabs>
          <w:tab w:val="left" w:pos="0"/>
        </w:tabs>
        <w:spacing w:after="0"/>
        <w:jc w:val="both"/>
        <w:rPr>
          <w:rFonts w:ascii="Cambria" w:hAnsi="Cambria"/>
          <w:sz w:val="24"/>
          <w:szCs w:val="24"/>
        </w:rPr>
      </w:pPr>
      <w:r w:rsidRPr="004931DC">
        <w:rPr>
          <w:rFonts w:ascii="Cambria" w:hAnsi="Cambria"/>
          <w:sz w:val="24"/>
          <w:szCs w:val="24"/>
        </w:rPr>
        <w:t>Rada Nadzorcza może rozpatrywać propozycje zmian w zakresie systemu kontroli wewnętrznej przedstawionych przez Zarząd.</w:t>
      </w:r>
    </w:p>
    <w:p w:rsidR="00BA6475" w:rsidRPr="004931DC" w:rsidRDefault="00BA6475" w:rsidP="00BA6475">
      <w:pPr>
        <w:pStyle w:val="Tekstpodstawowy"/>
        <w:widowControl w:val="0"/>
        <w:tabs>
          <w:tab w:val="left" w:pos="0"/>
        </w:tabs>
        <w:spacing w:after="0"/>
        <w:jc w:val="both"/>
        <w:rPr>
          <w:rFonts w:ascii="Cambria" w:hAnsi="Cambria"/>
          <w:sz w:val="24"/>
          <w:szCs w:val="24"/>
        </w:rPr>
      </w:pPr>
      <w:r w:rsidRPr="004931DC">
        <w:rPr>
          <w:rFonts w:ascii="Cambria" w:hAnsi="Cambria"/>
          <w:sz w:val="24"/>
          <w:szCs w:val="24"/>
        </w:rPr>
        <w:t>Ocena adekwatności i skuteczności systemu kontroli wewnętrznej wydawana jest przez Radę Nadzorczą zgodnie z kry</w:t>
      </w:r>
      <w:r>
        <w:rPr>
          <w:rFonts w:ascii="Cambria" w:hAnsi="Cambria"/>
          <w:sz w:val="24"/>
          <w:szCs w:val="24"/>
        </w:rPr>
        <w:t>teriami zawartymi w Regulaminie kontroli wewnętrznej w Banku Spółdzielczym w Żmigrodzie</w:t>
      </w:r>
      <w:r w:rsidRPr="004931DC">
        <w:rPr>
          <w:rFonts w:ascii="Cambria" w:hAnsi="Cambria"/>
          <w:sz w:val="24"/>
          <w:szCs w:val="24"/>
        </w:rPr>
        <w:t>.</w:t>
      </w:r>
    </w:p>
    <w:p w:rsidR="00BA6475" w:rsidRPr="00BB2666" w:rsidRDefault="00BA6475" w:rsidP="00BA6475">
      <w:pPr>
        <w:spacing w:line="142" w:lineRule="exact"/>
        <w:rPr>
          <w:sz w:val="20"/>
          <w:szCs w:val="20"/>
        </w:rPr>
      </w:pPr>
    </w:p>
    <w:p w:rsidR="00BA6475" w:rsidRPr="00BB2666" w:rsidRDefault="00BA6475" w:rsidP="00BA6475">
      <w:pPr>
        <w:rPr>
          <w:sz w:val="20"/>
          <w:szCs w:val="20"/>
        </w:rPr>
      </w:pPr>
      <w:r w:rsidRPr="00BB2666">
        <w:rPr>
          <w:rFonts w:ascii="Cambria" w:eastAsia="Cambria" w:hAnsi="Cambria" w:cs="Cambria"/>
          <w:sz w:val="23"/>
          <w:szCs w:val="23"/>
        </w:rPr>
        <w:t>W trakcie dokonywania oceny adekwatności i skuteczności systemu kontroli wewnętrznej ustalono że:</w:t>
      </w:r>
    </w:p>
    <w:p w:rsidR="00BA6475" w:rsidRPr="00BB2666" w:rsidRDefault="00BA6475" w:rsidP="00BA6475">
      <w:pPr>
        <w:numPr>
          <w:ilvl w:val="0"/>
          <w:numId w:val="7"/>
        </w:numPr>
        <w:tabs>
          <w:tab w:val="left" w:pos="720"/>
        </w:tabs>
        <w:ind w:left="720" w:hanging="362"/>
        <w:rPr>
          <w:rFonts w:ascii="Arial" w:eastAsia="Arial" w:hAnsi="Arial" w:cs="Arial"/>
          <w:sz w:val="24"/>
          <w:szCs w:val="24"/>
        </w:rPr>
      </w:pPr>
      <w:bookmarkStart w:id="2" w:name="page22"/>
      <w:bookmarkEnd w:id="2"/>
      <w:r w:rsidRPr="00BB2666">
        <w:rPr>
          <w:rFonts w:ascii="Cambria" w:eastAsia="Cambria" w:hAnsi="Cambria" w:cs="Cambria"/>
          <w:sz w:val="24"/>
          <w:szCs w:val="24"/>
        </w:rPr>
        <w:t>w obszarze kontroli wewnętrznej nie stwierdzono nieprawidłowości o charakterze znaczącym</w:t>
      </w:r>
    </w:p>
    <w:p w:rsidR="00BA6475" w:rsidRPr="00BB2666" w:rsidRDefault="00BA6475" w:rsidP="00BA6475">
      <w:pPr>
        <w:spacing w:line="23" w:lineRule="exact"/>
        <w:rPr>
          <w:rFonts w:ascii="Arial" w:eastAsia="Arial" w:hAnsi="Arial" w:cs="Arial"/>
          <w:sz w:val="24"/>
          <w:szCs w:val="24"/>
        </w:rPr>
      </w:pPr>
    </w:p>
    <w:p w:rsidR="00BA6475" w:rsidRPr="00BB2666" w:rsidRDefault="00BA6475" w:rsidP="00BA6475">
      <w:pPr>
        <w:numPr>
          <w:ilvl w:val="1"/>
          <w:numId w:val="7"/>
        </w:numPr>
        <w:tabs>
          <w:tab w:val="left" w:pos="840"/>
        </w:tabs>
        <w:ind w:left="840" w:hanging="127"/>
        <w:rPr>
          <w:rFonts w:ascii="Cambria" w:eastAsia="Cambria" w:hAnsi="Cambria" w:cs="Cambria"/>
          <w:sz w:val="24"/>
          <w:szCs w:val="24"/>
        </w:rPr>
      </w:pPr>
      <w:r w:rsidRPr="00BB2666">
        <w:rPr>
          <w:rFonts w:ascii="Cambria" w:eastAsia="Cambria" w:hAnsi="Cambria" w:cs="Cambria"/>
          <w:sz w:val="24"/>
          <w:szCs w:val="24"/>
        </w:rPr>
        <w:t>krytycznym,</w:t>
      </w:r>
    </w:p>
    <w:p w:rsidR="00BA6475" w:rsidRPr="00BB2666" w:rsidRDefault="00BA6475" w:rsidP="00BA6475">
      <w:pPr>
        <w:spacing w:line="33" w:lineRule="exact"/>
        <w:rPr>
          <w:rFonts w:ascii="Cambria" w:eastAsia="Cambria" w:hAnsi="Cambria" w:cs="Cambria"/>
          <w:sz w:val="24"/>
          <w:szCs w:val="24"/>
        </w:rPr>
      </w:pPr>
    </w:p>
    <w:p w:rsidR="00BA6475" w:rsidRPr="005E7475" w:rsidRDefault="00BA6475" w:rsidP="00BA6475">
      <w:pPr>
        <w:numPr>
          <w:ilvl w:val="0"/>
          <w:numId w:val="7"/>
        </w:numPr>
        <w:tabs>
          <w:tab w:val="left" w:pos="720"/>
        </w:tabs>
        <w:ind w:left="720" w:hanging="362"/>
        <w:rPr>
          <w:rFonts w:ascii="Arial" w:eastAsia="Arial" w:hAnsi="Arial" w:cs="Arial"/>
          <w:sz w:val="24"/>
          <w:szCs w:val="24"/>
        </w:rPr>
      </w:pPr>
      <w:r w:rsidRPr="005E7475">
        <w:rPr>
          <w:rFonts w:ascii="Cambria" w:eastAsia="Cambria" w:hAnsi="Cambria" w:cs="Cambria"/>
          <w:sz w:val="24"/>
          <w:szCs w:val="24"/>
        </w:rPr>
        <w:t>wszystkie zalecenia wydane przy ocenie nadzorczej (KNF) oraz przez kontrole wewnętrzne są</w:t>
      </w:r>
    </w:p>
    <w:p w:rsidR="00BA6475" w:rsidRPr="005E7475" w:rsidRDefault="00BA6475" w:rsidP="00BA6475">
      <w:pPr>
        <w:spacing w:line="23" w:lineRule="exact"/>
        <w:rPr>
          <w:rFonts w:ascii="Arial" w:eastAsia="Arial" w:hAnsi="Arial" w:cs="Arial"/>
          <w:sz w:val="24"/>
          <w:szCs w:val="24"/>
        </w:rPr>
      </w:pPr>
    </w:p>
    <w:p w:rsidR="00BA6475" w:rsidRPr="005E7475" w:rsidRDefault="00BA6475" w:rsidP="00BA6475">
      <w:pPr>
        <w:numPr>
          <w:ilvl w:val="1"/>
          <w:numId w:val="8"/>
        </w:numPr>
        <w:tabs>
          <w:tab w:val="left" w:pos="960"/>
        </w:tabs>
        <w:ind w:left="960" w:hanging="247"/>
        <w:rPr>
          <w:rFonts w:ascii="Cambria" w:eastAsia="Cambria" w:hAnsi="Cambria" w:cs="Cambria"/>
          <w:sz w:val="24"/>
          <w:szCs w:val="24"/>
        </w:rPr>
      </w:pPr>
      <w:r w:rsidRPr="005E7475">
        <w:rPr>
          <w:rFonts w:ascii="Cambria" w:eastAsia="Cambria" w:hAnsi="Cambria" w:cs="Cambria"/>
          <w:sz w:val="24"/>
          <w:szCs w:val="24"/>
        </w:rPr>
        <w:t>trakcie realizacji lub zrealizowane zgodnie z harmonogramem,</w:t>
      </w:r>
    </w:p>
    <w:p w:rsidR="00BA6475" w:rsidRPr="00BB2666" w:rsidRDefault="00BA6475" w:rsidP="00BA6475">
      <w:pPr>
        <w:spacing w:line="36" w:lineRule="exact"/>
        <w:rPr>
          <w:rFonts w:ascii="Cambria" w:eastAsia="Cambria" w:hAnsi="Cambria" w:cs="Cambria"/>
          <w:sz w:val="24"/>
          <w:szCs w:val="24"/>
        </w:rPr>
      </w:pPr>
    </w:p>
    <w:p w:rsidR="00BA6475" w:rsidRPr="00BB2666" w:rsidRDefault="00BA6475" w:rsidP="00BA6475">
      <w:pPr>
        <w:numPr>
          <w:ilvl w:val="0"/>
          <w:numId w:val="8"/>
        </w:numPr>
        <w:tabs>
          <w:tab w:val="left" w:pos="720"/>
        </w:tabs>
        <w:spacing w:line="258" w:lineRule="auto"/>
        <w:ind w:left="720" w:hanging="362"/>
        <w:rPr>
          <w:rFonts w:ascii="Arial" w:eastAsia="Arial" w:hAnsi="Arial" w:cs="Arial"/>
          <w:sz w:val="24"/>
          <w:szCs w:val="24"/>
        </w:rPr>
      </w:pPr>
      <w:r w:rsidRPr="00BB2666">
        <w:rPr>
          <w:rFonts w:ascii="Cambria" w:eastAsia="Cambria" w:hAnsi="Cambria" w:cs="Cambria"/>
          <w:sz w:val="24"/>
          <w:szCs w:val="24"/>
        </w:rPr>
        <w:t>sprawozdanie finansowe przedstawia rzetelny i jasny obraz sytuacji majątkowej i finansowej Banku,</w:t>
      </w:r>
    </w:p>
    <w:p w:rsidR="00BA6475" w:rsidRPr="00BB2666" w:rsidRDefault="00BA6475" w:rsidP="00BA6475">
      <w:pPr>
        <w:spacing w:line="12" w:lineRule="exact"/>
        <w:rPr>
          <w:rFonts w:ascii="Arial" w:eastAsia="Arial" w:hAnsi="Arial" w:cs="Arial"/>
          <w:sz w:val="24"/>
          <w:szCs w:val="24"/>
        </w:rPr>
      </w:pPr>
    </w:p>
    <w:p w:rsidR="00BA6475" w:rsidRPr="00BB2666" w:rsidRDefault="00BA6475" w:rsidP="00BA6475">
      <w:pPr>
        <w:numPr>
          <w:ilvl w:val="0"/>
          <w:numId w:val="8"/>
        </w:numPr>
        <w:tabs>
          <w:tab w:val="left" w:pos="720"/>
        </w:tabs>
        <w:ind w:left="720" w:hanging="362"/>
        <w:rPr>
          <w:rFonts w:ascii="Arial" w:eastAsia="Arial" w:hAnsi="Arial" w:cs="Arial"/>
          <w:sz w:val="24"/>
          <w:szCs w:val="24"/>
        </w:rPr>
      </w:pPr>
      <w:r w:rsidRPr="00BB2666">
        <w:rPr>
          <w:rFonts w:ascii="Cambria" w:eastAsia="Cambria" w:hAnsi="Cambria" w:cs="Cambria"/>
          <w:sz w:val="24"/>
          <w:szCs w:val="24"/>
        </w:rPr>
        <w:t>ryzyko braku zgodności utrzymywało się na niskim i akceptowany</w:t>
      </w:r>
      <w:r>
        <w:rPr>
          <w:rFonts w:ascii="Cambria" w:eastAsia="Cambria" w:hAnsi="Cambria" w:cs="Cambria"/>
          <w:sz w:val="24"/>
          <w:szCs w:val="24"/>
        </w:rPr>
        <w:t>m przez Bank poziomie.</w:t>
      </w:r>
    </w:p>
    <w:p w:rsidR="00BA6475" w:rsidRPr="00BB2666" w:rsidRDefault="00BA6475" w:rsidP="00BA6475">
      <w:pPr>
        <w:spacing w:line="36" w:lineRule="exact"/>
        <w:rPr>
          <w:rFonts w:ascii="Arial" w:eastAsia="Arial" w:hAnsi="Arial" w:cs="Arial"/>
          <w:sz w:val="24"/>
          <w:szCs w:val="24"/>
        </w:rPr>
      </w:pPr>
    </w:p>
    <w:p w:rsidR="00BA6475" w:rsidRPr="00BB2666" w:rsidRDefault="00BA6475" w:rsidP="00BA6475">
      <w:pPr>
        <w:spacing w:line="122" w:lineRule="exact"/>
        <w:rPr>
          <w:sz w:val="20"/>
          <w:szCs w:val="20"/>
        </w:rPr>
      </w:pPr>
    </w:p>
    <w:p w:rsidR="00BA6475" w:rsidRPr="005E7475" w:rsidRDefault="00BA6475" w:rsidP="00BA6475">
      <w:pPr>
        <w:spacing w:line="275" w:lineRule="auto"/>
        <w:jc w:val="both"/>
        <w:rPr>
          <w:sz w:val="20"/>
          <w:szCs w:val="20"/>
        </w:rPr>
      </w:pPr>
      <w:r w:rsidRPr="005E7475">
        <w:rPr>
          <w:rFonts w:ascii="Cambria" w:eastAsia="Cambria" w:hAnsi="Cambria" w:cs="Cambria"/>
          <w:sz w:val="24"/>
          <w:szCs w:val="24"/>
        </w:rPr>
        <w:t>W ocenie Rady Nadzorczej obowiązujący w Banku Spółdzielczym w 2021 r. system kontroli wewnętrznej był skuteczny i adekwatny do skali prowadzonej działalności Banku oraz profilu ryzyka.</w:t>
      </w:r>
    </w:p>
    <w:p w:rsidR="00BA6475" w:rsidRPr="00BB2666" w:rsidRDefault="00BA6475" w:rsidP="00BA6475">
      <w:pPr>
        <w:spacing w:line="200" w:lineRule="exact"/>
        <w:rPr>
          <w:sz w:val="20"/>
          <w:szCs w:val="20"/>
        </w:rPr>
      </w:pPr>
    </w:p>
    <w:p w:rsidR="00BA6475" w:rsidRPr="00BB2666" w:rsidRDefault="00BA6475" w:rsidP="00BA6475">
      <w:pPr>
        <w:spacing w:line="283" w:lineRule="exact"/>
        <w:rPr>
          <w:sz w:val="20"/>
          <w:szCs w:val="20"/>
        </w:rPr>
      </w:pPr>
    </w:p>
    <w:p w:rsidR="00BA6475" w:rsidRPr="00BB2666" w:rsidRDefault="00BA6475" w:rsidP="00BA6475"/>
    <w:p w:rsidR="00D5286F" w:rsidRDefault="00D5286F"/>
    <w:sectPr w:rsidR="00D5286F" w:rsidSect="00B8475A">
      <w:pgSz w:w="11900" w:h="16838"/>
      <w:pgMar w:top="202" w:right="726" w:bottom="0" w:left="720" w:header="0" w:footer="0" w:gutter="0"/>
      <w:cols w:space="708"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DD6"/>
    <w:multiLevelType w:val="hybridMultilevel"/>
    <w:tmpl w:val="7D7A2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956102"/>
    <w:multiLevelType w:val="hybridMultilevel"/>
    <w:tmpl w:val="73005F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CF7461"/>
    <w:multiLevelType w:val="hybridMultilevel"/>
    <w:tmpl w:val="FC82BA6A"/>
    <w:lvl w:ilvl="0" w:tplc="0FBE39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FFF902"/>
    <w:multiLevelType w:val="hybridMultilevel"/>
    <w:tmpl w:val="2E6A1B3E"/>
    <w:lvl w:ilvl="0" w:tplc="5D840B20">
      <w:start w:val="1"/>
      <w:numFmt w:val="bullet"/>
      <w:lvlText w:val="−"/>
      <w:lvlJc w:val="left"/>
    </w:lvl>
    <w:lvl w:ilvl="1" w:tplc="14D200DC">
      <w:numFmt w:val="decimal"/>
      <w:lvlText w:val=""/>
      <w:lvlJc w:val="left"/>
    </w:lvl>
    <w:lvl w:ilvl="2" w:tplc="69A8DCBE">
      <w:numFmt w:val="decimal"/>
      <w:lvlText w:val=""/>
      <w:lvlJc w:val="left"/>
    </w:lvl>
    <w:lvl w:ilvl="3" w:tplc="1C9010A2">
      <w:numFmt w:val="decimal"/>
      <w:lvlText w:val=""/>
      <w:lvlJc w:val="left"/>
    </w:lvl>
    <w:lvl w:ilvl="4" w:tplc="63A06D3A">
      <w:numFmt w:val="decimal"/>
      <w:lvlText w:val=""/>
      <w:lvlJc w:val="left"/>
    </w:lvl>
    <w:lvl w:ilvl="5" w:tplc="D29E6DF2">
      <w:numFmt w:val="decimal"/>
      <w:lvlText w:val=""/>
      <w:lvlJc w:val="left"/>
    </w:lvl>
    <w:lvl w:ilvl="6" w:tplc="7B4EF7BC">
      <w:numFmt w:val="decimal"/>
      <w:lvlText w:val=""/>
      <w:lvlJc w:val="left"/>
    </w:lvl>
    <w:lvl w:ilvl="7" w:tplc="8DCA09C0">
      <w:numFmt w:val="decimal"/>
      <w:lvlText w:val=""/>
      <w:lvlJc w:val="left"/>
    </w:lvl>
    <w:lvl w:ilvl="8" w:tplc="72D84964">
      <w:numFmt w:val="decimal"/>
      <w:lvlText w:val=""/>
      <w:lvlJc w:val="left"/>
    </w:lvl>
  </w:abstractNum>
  <w:abstractNum w:abstractNumId="4">
    <w:nsid w:val="38437FDB"/>
    <w:multiLevelType w:val="hybridMultilevel"/>
    <w:tmpl w:val="4F04DA08"/>
    <w:lvl w:ilvl="0" w:tplc="1596825E">
      <w:start w:val="1"/>
      <w:numFmt w:val="decimal"/>
      <w:lvlText w:val="%1)"/>
      <w:lvlJc w:val="left"/>
    </w:lvl>
    <w:lvl w:ilvl="1" w:tplc="D4D0AF0E">
      <w:numFmt w:val="decimal"/>
      <w:lvlText w:val=""/>
      <w:lvlJc w:val="left"/>
    </w:lvl>
    <w:lvl w:ilvl="2" w:tplc="53905618">
      <w:numFmt w:val="decimal"/>
      <w:lvlText w:val=""/>
      <w:lvlJc w:val="left"/>
    </w:lvl>
    <w:lvl w:ilvl="3" w:tplc="393C1F86">
      <w:numFmt w:val="decimal"/>
      <w:lvlText w:val=""/>
      <w:lvlJc w:val="left"/>
    </w:lvl>
    <w:lvl w:ilvl="4" w:tplc="C5722580">
      <w:numFmt w:val="decimal"/>
      <w:lvlText w:val=""/>
      <w:lvlJc w:val="left"/>
    </w:lvl>
    <w:lvl w:ilvl="5" w:tplc="05E220EC">
      <w:numFmt w:val="decimal"/>
      <w:lvlText w:val=""/>
      <w:lvlJc w:val="left"/>
    </w:lvl>
    <w:lvl w:ilvl="6" w:tplc="6CDCBC3E">
      <w:numFmt w:val="decimal"/>
      <w:lvlText w:val=""/>
      <w:lvlJc w:val="left"/>
    </w:lvl>
    <w:lvl w:ilvl="7" w:tplc="4E243A06">
      <w:numFmt w:val="decimal"/>
      <w:lvlText w:val=""/>
      <w:lvlJc w:val="left"/>
    </w:lvl>
    <w:lvl w:ilvl="8" w:tplc="88547098">
      <w:numFmt w:val="decimal"/>
      <w:lvlText w:val=""/>
      <w:lvlJc w:val="left"/>
    </w:lvl>
  </w:abstractNum>
  <w:abstractNum w:abstractNumId="5">
    <w:nsid w:val="3DC240FB"/>
    <w:multiLevelType w:val="hybridMultilevel"/>
    <w:tmpl w:val="06CADC90"/>
    <w:lvl w:ilvl="0" w:tplc="368AB5E0">
      <w:start w:val="1"/>
      <w:numFmt w:val="bullet"/>
      <w:lvlText w:val="−"/>
      <w:lvlJc w:val="left"/>
    </w:lvl>
    <w:lvl w:ilvl="1" w:tplc="E8A24148">
      <w:start w:val="23"/>
      <w:numFmt w:val="lowerLetter"/>
      <w:lvlText w:val="%2"/>
      <w:lvlJc w:val="left"/>
    </w:lvl>
    <w:lvl w:ilvl="2" w:tplc="E194876A">
      <w:numFmt w:val="decimal"/>
      <w:lvlText w:val=""/>
      <w:lvlJc w:val="left"/>
    </w:lvl>
    <w:lvl w:ilvl="3" w:tplc="5B60E6CA">
      <w:numFmt w:val="decimal"/>
      <w:lvlText w:val=""/>
      <w:lvlJc w:val="left"/>
    </w:lvl>
    <w:lvl w:ilvl="4" w:tplc="59AC72B2">
      <w:numFmt w:val="decimal"/>
      <w:lvlText w:val=""/>
      <w:lvlJc w:val="left"/>
    </w:lvl>
    <w:lvl w:ilvl="5" w:tplc="99A860D8">
      <w:numFmt w:val="decimal"/>
      <w:lvlText w:val=""/>
      <w:lvlJc w:val="left"/>
    </w:lvl>
    <w:lvl w:ilvl="6" w:tplc="B8901AB6">
      <w:numFmt w:val="decimal"/>
      <w:lvlText w:val=""/>
      <w:lvlJc w:val="left"/>
    </w:lvl>
    <w:lvl w:ilvl="7" w:tplc="FD228FC8">
      <w:numFmt w:val="decimal"/>
      <w:lvlText w:val=""/>
      <w:lvlJc w:val="left"/>
    </w:lvl>
    <w:lvl w:ilvl="8" w:tplc="74487CC2">
      <w:numFmt w:val="decimal"/>
      <w:lvlText w:val=""/>
      <w:lvlJc w:val="left"/>
    </w:lvl>
  </w:abstractNum>
  <w:abstractNum w:abstractNumId="6">
    <w:nsid w:val="41A808E3"/>
    <w:multiLevelType w:val="hybridMultilevel"/>
    <w:tmpl w:val="5D54E296"/>
    <w:lvl w:ilvl="0" w:tplc="97C88128">
      <w:start w:val="1"/>
      <w:numFmt w:val="bullet"/>
      <w:lvlText w:val="­"/>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79D07D3"/>
    <w:multiLevelType w:val="hybridMultilevel"/>
    <w:tmpl w:val="06AC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E4CCAF"/>
    <w:multiLevelType w:val="hybridMultilevel"/>
    <w:tmpl w:val="54CA49FE"/>
    <w:lvl w:ilvl="0" w:tplc="FD10059E">
      <w:start w:val="1"/>
      <w:numFmt w:val="decimal"/>
      <w:lvlText w:val="%1)"/>
      <w:lvlJc w:val="left"/>
    </w:lvl>
    <w:lvl w:ilvl="1" w:tplc="022A6706">
      <w:start w:val="9"/>
      <w:numFmt w:val="lowerLetter"/>
      <w:lvlText w:val="%2"/>
      <w:lvlJc w:val="left"/>
    </w:lvl>
    <w:lvl w:ilvl="2" w:tplc="C1AA4D78">
      <w:numFmt w:val="decimal"/>
      <w:lvlText w:val=""/>
      <w:lvlJc w:val="left"/>
    </w:lvl>
    <w:lvl w:ilvl="3" w:tplc="64C44236">
      <w:numFmt w:val="decimal"/>
      <w:lvlText w:val=""/>
      <w:lvlJc w:val="left"/>
    </w:lvl>
    <w:lvl w:ilvl="4" w:tplc="8DE296AC">
      <w:numFmt w:val="decimal"/>
      <w:lvlText w:val=""/>
      <w:lvlJc w:val="left"/>
    </w:lvl>
    <w:lvl w:ilvl="5" w:tplc="D46EF5DE">
      <w:numFmt w:val="decimal"/>
      <w:lvlText w:val=""/>
      <w:lvlJc w:val="left"/>
    </w:lvl>
    <w:lvl w:ilvl="6" w:tplc="E3CCA45A">
      <w:numFmt w:val="decimal"/>
      <w:lvlText w:val=""/>
      <w:lvlJc w:val="left"/>
    </w:lvl>
    <w:lvl w:ilvl="7" w:tplc="B2BA2EE4">
      <w:numFmt w:val="decimal"/>
      <w:lvlText w:val=""/>
      <w:lvlJc w:val="left"/>
    </w:lvl>
    <w:lvl w:ilvl="8" w:tplc="628AB91E">
      <w:numFmt w:val="decimal"/>
      <w:lvlText w:val=""/>
      <w:lvlJc w:val="left"/>
    </w:lvl>
  </w:abstractNum>
  <w:abstractNum w:abstractNumId="9">
    <w:nsid w:val="65D570FB"/>
    <w:multiLevelType w:val="hybridMultilevel"/>
    <w:tmpl w:val="57A26A3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A481A"/>
    <w:multiLevelType w:val="hybridMultilevel"/>
    <w:tmpl w:val="FD487DA6"/>
    <w:lvl w:ilvl="0" w:tplc="A7B8F29C">
      <w:start w:val="1"/>
      <w:numFmt w:val="bullet"/>
      <w:lvlText w:val="−"/>
      <w:lvlJc w:val="left"/>
    </w:lvl>
    <w:lvl w:ilvl="1" w:tplc="FDA0A876">
      <w:numFmt w:val="decimal"/>
      <w:lvlText w:val=""/>
      <w:lvlJc w:val="left"/>
    </w:lvl>
    <w:lvl w:ilvl="2" w:tplc="3A704832">
      <w:numFmt w:val="decimal"/>
      <w:lvlText w:val=""/>
      <w:lvlJc w:val="left"/>
    </w:lvl>
    <w:lvl w:ilvl="3" w:tplc="3440C482">
      <w:numFmt w:val="decimal"/>
      <w:lvlText w:val=""/>
      <w:lvlJc w:val="left"/>
    </w:lvl>
    <w:lvl w:ilvl="4" w:tplc="5A224AD8">
      <w:numFmt w:val="decimal"/>
      <w:lvlText w:val=""/>
      <w:lvlJc w:val="left"/>
    </w:lvl>
    <w:lvl w:ilvl="5" w:tplc="B680D8B2">
      <w:numFmt w:val="decimal"/>
      <w:lvlText w:val=""/>
      <w:lvlJc w:val="left"/>
    </w:lvl>
    <w:lvl w:ilvl="6" w:tplc="9C76F40C">
      <w:numFmt w:val="decimal"/>
      <w:lvlText w:val=""/>
      <w:lvlJc w:val="left"/>
    </w:lvl>
    <w:lvl w:ilvl="7" w:tplc="0590CD58">
      <w:numFmt w:val="decimal"/>
      <w:lvlText w:val=""/>
      <w:lvlJc w:val="left"/>
    </w:lvl>
    <w:lvl w:ilvl="8" w:tplc="1E421B56">
      <w:numFmt w:val="decimal"/>
      <w:lvlText w:val=""/>
      <w:lvlJc w:val="left"/>
    </w:lvl>
  </w:abstractNum>
  <w:abstractNum w:abstractNumId="11">
    <w:nsid w:val="725A06FB"/>
    <w:multiLevelType w:val="hybridMultilevel"/>
    <w:tmpl w:val="90B025A0"/>
    <w:lvl w:ilvl="0" w:tplc="D28AAB18">
      <w:start w:val="1"/>
      <w:numFmt w:val="bullet"/>
      <w:lvlText w:val="-"/>
      <w:lvlJc w:val="left"/>
    </w:lvl>
    <w:lvl w:ilvl="1" w:tplc="3670DFB0">
      <w:numFmt w:val="decimal"/>
      <w:lvlText w:val=""/>
      <w:lvlJc w:val="left"/>
    </w:lvl>
    <w:lvl w:ilvl="2" w:tplc="011A7E38">
      <w:numFmt w:val="decimal"/>
      <w:lvlText w:val=""/>
      <w:lvlJc w:val="left"/>
    </w:lvl>
    <w:lvl w:ilvl="3" w:tplc="C840D1CC">
      <w:numFmt w:val="decimal"/>
      <w:lvlText w:val=""/>
      <w:lvlJc w:val="left"/>
    </w:lvl>
    <w:lvl w:ilvl="4" w:tplc="FA7E8184">
      <w:numFmt w:val="decimal"/>
      <w:lvlText w:val=""/>
      <w:lvlJc w:val="left"/>
    </w:lvl>
    <w:lvl w:ilvl="5" w:tplc="1A5A711C">
      <w:numFmt w:val="decimal"/>
      <w:lvlText w:val=""/>
      <w:lvlJc w:val="left"/>
    </w:lvl>
    <w:lvl w:ilvl="6" w:tplc="DF4ADC6C">
      <w:numFmt w:val="decimal"/>
      <w:lvlText w:val=""/>
      <w:lvlJc w:val="left"/>
    </w:lvl>
    <w:lvl w:ilvl="7" w:tplc="99FE43D4">
      <w:numFmt w:val="decimal"/>
      <w:lvlText w:val=""/>
      <w:lvlJc w:val="left"/>
    </w:lvl>
    <w:lvl w:ilvl="8" w:tplc="7902AC08">
      <w:numFmt w:val="decimal"/>
      <w:lvlText w:val=""/>
      <w:lvlJc w:val="left"/>
    </w:lvl>
  </w:abstractNum>
  <w:abstractNum w:abstractNumId="12">
    <w:nsid w:val="749ABB43"/>
    <w:multiLevelType w:val="hybridMultilevel"/>
    <w:tmpl w:val="4CD88754"/>
    <w:lvl w:ilvl="0" w:tplc="3F062462">
      <w:start w:val="1"/>
      <w:numFmt w:val="bullet"/>
      <w:lvlText w:val="−"/>
      <w:lvlJc w:val="left"/>
    </w:lvl>
    <w:lvl w:ilvl="1" w:tplc="46BC308A">
      <w:start w:val="9"/>
      <w:numFmt w:val="lowerLetter"/>
      <w:lvlText w:val="%2"/>
      <w:lvlJc w:val="left"/>
    </w:lvl>
    <w:lvl w:ilvl="2" w:tplc="71DEBF32">
      <w:numFmt w:val="decimal"/>
      <w:lvlText w:val=""/>
      <w:lvlJc w:val="left"/>
    </w:lvl>
    <w:lvl w:ilvl="3" w:tplc="9704F55E">
      <w:numFmt w:val="decimal"/>
      <w:lvlText w:val=""/>
      <w:lvlJc w:val="left"/>
    </w:lvl>
    <w:lvl w:ilvl="4" w:tplc="A9A6B718">
      <w:numFmt w:val="decimal"/>
      <w:lvlText w:val=""/>
      <w:lvlJc w:val="left"/>
    </w:lvl>
    <w:lvl w:ilvl="5" w:tplc="B70AA7C4">
      <w:numFmt w:val="decimal"/>
      <w:lvlText w:val=""/>
      <w:lvlJc w:val="left"/>
    </w:lvl>
    <w:lvl w:ilvl="6" w:tplc="9830F58C">
      <w:numFmt w:val="decimal"/>
      <w:lvlText w:val=""/>
      <w:lvlJc w:val="left"/>
    </w:lvl>
    <w:lvl w:ilvl="7" w:tplc="981E5334">
      <w:numFmt w:val="decimal"/>
      <w:lvlText w:val=""/>
      <w:lvlJc w:val="left"/>
    </w:lvl>
    <w:lvl w:ilvl="8" w:tplc="8D9AC4BC">
      <w:numFmt w:val="decimal"/>
      <w:lvlText w:val=""/>
      <w:lvlJc w:val="left"/>
    </w:lvl>
  </w:abstractNum>
  <w:abstractNum w:abstractNumId="13">
    <w:nsid w:val="7644A45C"/>
    <w:multiLevelType w:val="hybridMultilevel"/>
    <w:tmpl w:val="F58CB04E"/>
    <w:lvl w:ilvl="0" w:tplc="3208C36C">
      <w:start w:val="1"/>
      <w:numFmt w:val="bullet"/>
      <w:lvlText w:val="−"/>
      <w:lvlJc w:val="left"/>
    </w:lvl>
    <w:lvl w:ilvl="1" w:tplc="859295F8">
      <w:numFmt w:val="decimal"/>
      <w:lvlText w:val=""/>
      <w:lvlJc w:val="left"/>
    </w:lvl>
    <w:lvl w:ilvl="2" w:tplc="C28A9DDA">
      <w:numFmt w:val="decimal"/>
      <w:lvlText w:val=""/>
      <w:lvlJc w:val="left"/>
    </w:lvl>
    <w:lvl w:ilvl="3" w:tplc="5A106FF4">
      <w:numFmt w:val="decimal"/>
      <w:lvlText w:val=""/>
      <w:lvlJc w:val="left"/>
    </w:lvl>
    <w:lvl w:ilvl="4" w:tplc="6714CD5C">
      <w:numFmt w:val="decimal"/>
      <w:lvlText w:val=""/>
      <w:lvlJc w:val="left"/>
    </w:lvl>
    <w:lvl w:ilvl="5" w:tplc="C32ACF64">
      <w:numFmt w:val="decimal"/>
      <w:lvlText w:val=""/>
      <w:lvlJc w:val="left"/>
    </w:lvl>
    <w:lvl w:ilvl="6" w:tplc="DA7C50C4">
      <w:numFmt w:val="decimal"/>
      <w:lvlText w:val=""/>
      <w:lvlJc w:val="left"/>
    </w:lvl>
    <w:lvl w:ilvl="7" w:tplc="D6B4512A">
      <w:numFmt w:val="decimal"/>
      <w:lvlText w:val=""/>
      <w:lvlJc w:val="left"/>
    </w:lvl>
    <w:lvl w:ilvl="8" w:tplc="33940C16">
      <w:numFmt w:val="decimal"/>
      <w:lvlText w:val=""/>
      <w:lvlJc w:val="left"/>
    </w:lvl>
  </w:abstractNum>
  <w:num w:numId="1">
    <w:abstractNumId w:val="11"/>
  </w:num>
  <w:num w:numId="2">
    <w:abstractNumId w:val="8"/>
  </w:num>
  <w:num w:numId="3">
    <w:abstractNumId w:val="4"/>
  </w:num>
  <w:num w:numId="4">
    <w:abstractNumId w:val="13"/>
  </w:num>
  <w:num w:numId="5">
    <w:abstractNumId w:val="3"/>
  </w:num>
  <w:num w:numId="6">
    <w:abstractNumId w:val="10"/>
  </w:num>
  <w:num w:numId="7">
    <w:abstractNumId w:val="12"/>
  </w:num>
  <w:num w:numId="8">
    <w:abstractNumId w:val="5"/>
  </w:num>
  <w:num w:numId="9">
    <w:abstractNumId w:val="7"/>
  </w:num>
  <w:num w:numId="10">
    <w:abstractNumId w:val="1"/>
  </w:num>
  <w:num w:numId="11">
    <w:abstractNumId w:val="9"/>
  </w:num>
  <w:num w:numId="12">
    <w:abstractNumId w:val="6"/>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hyphenationZone w:val="425"/>
  <w:characterSpacingControl w:val="doNotCompress"/>
  <w:compat/>
  <w:rsids>
    <w:rsidRoot w:val="00B56F1B"/>
    <w:rsid w:val="001E38A0"/>
    <w:rsid w:val="0026795A"/>
    <w:rsid w:val="009E5FA9"/>
    <w:rsid w:val="00B56F1B"/>
    <w:rsid w:val="00BA6475"/>
    <w:rsid w:val="00D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7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475"/>
    <w:pPr>
      <w:ind w:left="720"/>
      <w:contextualSpacing/>
    </w:pPr>
  </w:style>
  <w:style w:type="paragraph" w:styleId="Tekstpodstawowy2">
    <w:name w:val="Body Text 2"/>
    <w:basedOn w:val="Normalny"/>
    <w:link w:val="Tekstpodstawowy2Znak"/>
    <w:uiPriority w:val="99"/>
    <w:rsid w:val="00BA6475"/>
    <w:pPr>
      <w:jc w:val="both"/>
    </w:pPr>
    <w:rPr>
      <w:rFonts w:eastAsia="Times New Roman"/>
      <w:sz w:val="24"/>
      <w:szCs w:val="24"/>
    </w:rPr>
  </w:style>
  <w:style w:type="character" w:customStyle="1" w:styleId="Tekstpodstawowy2Znak">
    <w:name w:val="Tekst podstawowy 2 Znak"/>
    <w:basedOn w:val="Domylnaczcionkaakapitu"/>
    <w:link w:val="Tekstpodstawowy2"/>
    <w:uiPriority w:val="99"/>
    <w:rsid w:val="00BA647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A6475"/>
    <w:pPr>
      <w:spacing w:after="120"/>
    </w:pPr>
  </w:style>
  <w:style w:type="character" w:customStyle="1" w:styleId="TekstpodstawowyZnak">
    <w:name w:val="Tekst podstawowy Znak"/>
    <w:basedOn w:val="Domylnaczcionkaakapitu"/>
    <w:link w:val="Tekstpodstawowy"/>
    <w:uiPriority w:val="99"/>
    <w:semiHidden/>
    <w:rsid w:val="00BA6475"/>
    <w:rPr>
      <w:rFonts w:ascii="Times New Roman" w:eastAsiaTheme="minorEastAsia"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8463</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Żyto</dc:creator>
  <cp:lastModifiedBy>tk1</cp:lastModifiedBy>
  <cp:revision>2</cp:revision>
  <dcterms:created xsi:type="dcterms:W3CDTF">2022-06-02T11:46:00Z</dcterms:created>
  <dcterms:modified xsi:type="dcterms:W3CDTF">2022-06-02T11:46:00Z</dcterms:modified>
</cp:coreProperties>
</file>